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480" w:lineRule="auto"/>
        <w:rPr>
          <w:color w:val="647769"/>
        </w:rPr>
      </w:pPr>
      <w:r w:rsidDel="00000000" w:rsidR="00000000" w:rsidRPr="00000000">
        <w:rPr>
          <w:rFonts w:ascii="Cormorant Garamond" w:cs="Cormorant Garamond" w:eastAsia="Cormorant Garamond" w:hAnsi="Cormorant Garamond"/>
          <w:b w:val="1"/>
          <w:bCs w:val="1"/>
          <w:color w:val="1f3d2b"/>
          <w:sz w:val="52"/>
          <w:szCs w:val="52"/>
          <w:rtl w:val="0"/>
        </w:rPr>
        <w:t xml:space="preserve">Apprenticeship NSG Measurement Framework</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spacing w:after="120" w:before="0" w:line="336" w:lineRule="auto"/>
        <w:rPr/>
      </w:pPr>
      <w:r w:rsidDel="00000000" w:rsidR="00000000" w:rsidRPr="00000000">
        <w:rPr>
          <w:rFonts w:ascii="Libre Franklin" w:cs="Libre Franklin" w:eastAsia="Libre Franklin" w:hAnsi="Libre Franklin"/>
          <w:i w:val="1"/>
          <w:iCs w:val="1"/>
          <w:color w:val="2c3040"/>
          <w:sz w:val="22"/>
          <w:szCs w:val="22"/>
          <w:rtl w:val="0"/>
        </w:rPr>
        <w:t xml:space="preserve">A rigorous attribution methodology and metric architecture for Google.org’s Global Programs Apprenticeship North Star Goal</w:t>
      </w:r>
      <w:r w:rsidDel="00000000" w:rsidR="00000000" w:rsidRPr="00000000">
        <w:rPr>
          <w:rtl w:val="0"/>
        </w:rPr>
      </w:r>
    </w:p>
    <w:p w:rsidR="00000000" w:rsidDel="00000000" w:rsidP="00000000" w:rsidRDefault="00000000" w:rsidRPr="00000000" w14:paraId="00000003">
      <w:pPr>
        <w:spacing w:after="60" w:before="0" w:line="336" w:lineRule="auto"/>
        <w:rPr>
          <w:color w:val="647769"/>
        </w:rPr>
      </w:pPr>
      <w:r w:rsidDel="00000000" w:rsidR="00000000" w:rsidRPr="00000000">
        <w:rPr>
          <w:rFonts w:ascii="DM Mono" w:cs="DM Mono" w:eastAsia="DM Mono" w:hAnsi="DM Mono"/>
          <w:color w:val="647769"/>
          <w:sz w:val="16"/>
          <w:szCs w:val="16"/>
          <w:rtl w:val="0"/>
        </w:rPr>
        <w:t xml:space="preserve">Attn: Claire Conneely, Research &amp; Evaluation Program Manager</w:t>
      </w:r>
      <w:r w:rsidDel="00000000" w:rsidR="00000000" w:rsidRPr="00000000">
        <w:rPr>
          <w:rtl w:val="0"/>
        </w:rPr>
      </w:r>
    </w:p>
    <w:p w:rsidR="00000000" w:rsidDel="00000000" w:rsidP="00000000" w:rsidRDefault="00000000" w:rsidRPr="00000000" w14:paraId="00000004">
      <w:pPr>
        <w:spacing w:after="60" w:before="0" w:line="336"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Submitted: April 30, 2026</w:t>
      </w:r>
    </w:p>
    <w:p w:rsidR="00000000" w:rsidDel="00000000" w:rsidP="00000000" w:rsidRDefault="00000000" w:rsidRPr="00000000" w14:paraId="00000005">
      <w:pPr>
        <w:spacing w:after="60" w:before="0" w:line="336"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Updated: June 4, 2026</w:t>
      </w:r>
    </w:p>
    <w:p w:rsidR="00000000" w:rsidDel="00000000" w:rsidP="00000000" w:rsidRDefault="00000000" w:rsidRPr="00000000" w14:paraId="00000006">
      <w:pPr>
        <w:spacing w:after="240" w:before="0" w:line="336"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Submitted by: Spencer MacColl, Founder &amp; Principal, Social Return Advisory</w:t>
      </w:r>
    </w:p>
    <w:p w:rsidR="00000000" w:rsidDel="00000000" w:rsidP="00000000" w:rsidRDefault="00000000" w:rsidRPr="00000000" w14:paraId="00000007">
      <w:pPr>
        <w:widowControl w:val="0"/>
        <w:spacing w:after="240" w:line="336"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 – – – </w:t>
      </w:r>
    </w:p>
    <w:p w:rsidR="00000000" w:rsidDel="00000000" w:rsidP="00000000" w:rsidRDefault="00000000" w:rsidRPr="00000000" w14:paraId="00000008">
      <w:pPr>
        <w:widowControl w:val="0"/>
        <w:spacing w:after="60" w:line="335.99999999999994"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Business Name: Social Return Advisory LLC</w:t>
      </w:r>
    </w:p>
    <w:p w:rsidR="00000000" w:rsidDel="00000000" w:rsidP="00000000" w:rsidRDefault="00000000" w:rsidRPr="00000000" w14:paraId="00000009">
      <w:pPr>
        <w:widowControl w:val="0"/>
        <w:spacing w:after="60" w:line="335.99999999999994"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Business Address: 1209 NE 107th Street, Seattle, WA 98125</w:t>
      </w:r>
    </w:p>
    <w:p w:rsidR="00000000" w:rsidDel="00000000" w:rsidP="00000000" w:rsidRDefault="00000000" w:rsidRPr="00000000" w14:paraId="0000000A">
      <w:pPr>
        <w:widowControl w:val="0"/>
        <w:spacing w:after="60" w:line="335.99999999999994"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Business EIN Number:41-4928933</w:t>
      </w:r>
    </w:p>
    <w:p w:rsidR="00000000" w:rsidDel="00000000" w:rsidP="00000000" w:rsidRDefault="00000000" w:rsidRPr="00000000" w14:paraId="0000000B">
      <w:pPr>
        <w:widowControl w:val="0"/>
        <w:spacing w:after="60" w:line="335.99999999999994" w:lineRule="auto"/>
        <w:rPr>
          <w:rFonts w:ascii="DM Mono" w:cs="DM Mono" w:eastAsia="DM Mono" w:hAnsi="DM Mono"/>
          <w:color w:val="647769"/>
          <w:sz w:val="16"/>
          <w:szCs w:val="16"/>
        </w:rPr>
      </w:pPr>
      <w:r w:rsidDel="00000000" w:rsidR="00000000" w:rsidRPr="00000000">
        <w:rPr>
          <w:rFonts w:ascii="DM Mono" w:cs="DM Mono" w:eastAsia="DM Mono" w:hAnsi="DM Mono"/>
          <w:color w:val="647769"/>
          <w:sz w:val="16"/>
          <w:szCs w:val="16"/>
          <w:rtl w:val="0"/>
        </w:rPr>
        <w:t xml:space="preserve">Website: www.socialreturnadvisory.com</w:t>
      </w:r>
    </w:p>
    <w:p w:rsidR="00000000" w:rsidDel="00000000" w:rsidP="00000000" w:rsidRDefault="00000000" w:rsidRPr="00000000" w14:paraId="0000000C">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The opportunity</w:t>
      </w:r>
      <w:r w:rsidDel="00000000" w:rsidR="00000000" w:rsidRPr="00000000">
        <w:rPr>
          <w:rtl w:val="0"/>
        </w:rPr>
      </w:r>
    </w:p>
    <w:p w:rsidR="00000000" w:rsidDel="00000000" w:rsidP="00000000" w:rsidRDefault="00000000" w:rsidRPr="00000000" w14:paraId="0000000D">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Google.org’s 2026-2028 Apprenticeship North Star Goal commits the Global Programs (GP) pillar to advancing economic and workforce development by expanding technology-focused apprenticeships and access to job-ready skills and meaningful opportunities. </w:t>
      </w:r>
      <w:r w:rsidDel="00000000" w:rsidR="00000000" w:rsidRPr="00000000">
        <w:rPr>
          <w:rtl w:val="0"/>
        </w:rPr>
        <w:t xml:space="preserve">Today, Google.org does not have a validated framework to evaluate how its programmatic and ecosystem investments increase the availability, quality, and completion of apprenticeship opportunities across local, regional, and international ecosystems. Existing measurement is anchored largely in Google-run program success rather than ecosystem-level outcomes.</w:t>
      </w:r>
    </w:p>
    <w:p w:rsidR="00000000" w:rsidDel="00000000" w:rsidP="00000000" w:rsidRDefault="00000000" w:rsidRPr="00000000" w14:paraId="0000000E">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This project will develop a rigorous, transparent attribution methodology and metric architecture that Google.org can use to credibly and proportionately represent its holistic contributions to apprenticeship ecosystems globally, including grants from other pillars (such as KSL) that fund apprenticeship work. The framework will accommodate regional variation in apprenticeship structures while producing a defensible global reporting standard.</w:t>
      </w:r>
      <w:r w:rsidDel="00000000" w:rsidR="00000000" w:rsidRPr="00000000">
        <w:rPr>
          <w:rtl w:val="0"/>
        </w:rPr>
      </w:r>
    </w:p>
    <w:p w:rsidR="00000000" w:rsidDel="00000000" w:rsidP="00000000" w:rsidRDefault="00000000" w:rsidRPr="00000000" w14:paraId="0000000F">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Given the July 31, 2026, reporting cycle deadline, the project requires senior-led delivery, methodological clarity, and disciplined scope management from day one.</w:t>
      </w:r>
      <w:r w:rsidDel="00000000" w:rsidR="00000000" w:rsidRPr="00000000">
        <w:rPr>
          <w:rtl w:val="0"/>
        </w:rPr>
      </w:r>
    </w:p>
    <w:p w:rsidR="00000000" w:rsidDel="00000000" w:rsidP="00000000" w:rsidRDefault="00000000" w:rsidRPr="00000000" w14:paraId="00000010">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Why Social Return Advisory</w:t>
      </w:r>
      <w:r w:rsidDel="00000000" w:rsidR="00000000" w:rsidRPr="00000000">
        <w:rPr>
          <w:rtl w:val="0"/>
        </w:rPr>
      </w:r>
    </w:p>
    <w:p w:rsidR="00000000" w:rsidDel="00000000" w:rsidP="00000000" w:rsidRDefault="00000000" w:rsidRPr="00000000" w14:paraId="00000011">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Spencer MacColl, Social Return Advisory’s founder, has worked directly with Google.org’s KSL and Research &amp; Evaluation teams across two prior engagements. The first defined the KSL North Star Goals and economic measurement approach. The second projected a three-year economic uplift estimate for the KSL pillar, presented to the KSL Director. That work has direct relevance for this engagement: KSL apprenticeship-related investments need to roll up cleanly into the GP Apprenticeship NSG, and the prior measurement architecture was built with that cross-pillar logic in mind. This proposal begins with existing familiarity of Google.org’s measurement philosophy, internal stakeholders, and reporting context, which is a meaningful head start against the July 31 deadline.</w:t>
      </w:r>
      <w:r w:rsidDel="00000000" w:rsidR="00000000" w:rsidRPr="00000000">
        <w:rPr>
          <w:rtl w:val="0"/>
        </w:rPr>
      </w:r>
    </w:p>
    <w:p w:rsidR="00000000" w:rsidDel="00000000" w:rsidP="00000000" w:rsidRDefault="00000000" w:rsidRPr="00000000" w14:paraId="00000012">
      <w:pPr>
        <w:spacing w:after="120" w:before="280" w:lineRule="auto"/>
        <w:rPr>
          <w:b w:val="1"/>
          <w:bCs w:val="1"/>
          <w:sz w:val="26"/>
          <w:szCs w:val="26"/>
        </w:rPr>
      </w:pPr>
      <w:r w:rsidDel="00000000" w:rsidR="00000000" w:rsidRPr="00000000">
        <w:rPr>
          <w:b w:val="1"/>
          <w:bCs w:val="1"/>
          <w:smallCaps w:val="1"/>
          <w:color w:val="1f3d2b"/>
          <w:sz w:val="26"/>
          <w:szCs w:val="26"/>
          <w:rtl w:val="0"/>
        </w:rPr>
        <w:t xml:space="preserve">Focused, senior-led expertise</w:t>
      </w:r>
      <w:r w:rsidDel="00000000" w:rsidR="00000000" w:rsidRPr="00000000">
        <w:rPr>
          <w:rtl w:val="0"/>
        </w:rPr>
      </w:r>
    </w:p>
    <w:p w:rsidR="00000000" w:rsidDel="00000000" w:rsidP="00000000" w:rsidRDefault="00000000" w:rsidRPr="00000000" w14:paraId="00000013">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Social Return Advisory works deliberately with a limited number of clients, so every engagement receives full focus and senior-level expertise. It</w:t>
      </w:r>
      <w:r w:rsidDel="00000000" w:rsidR="00000000" w:rsidRPr="00000000">
        <w:rPr>
          <w:rtl w:val="0"/>
        </w:rPr>
        <w:t xml:space="preserve">s principal, Spencer, has spent a decade designing impact measurement systems, KPIs, and economic value models for leading philanthropies and nonprofits, including some of the largest foundations in the US. Prior roles and clients include the GitLab Foundation (where Spencer was Chief Impact Officer), the World Bank, Kiva, and organizations across international development and workforce development. The track record is summarized in the bio at the end of this proposal.</w:t>
      </w:r>
    </w:p>
    <w:p w:rsidR="00000000" w:rsidDel="00000000" w:rsidP="00000000" w:rsidRDefault="00000000" w:rsidRPr="00000000" w14:paraId="00000014">
      <w:pPr>
        <w:spacing w:after="160" w:before="0" w:line="336" w:lineRule="auto"/>
        <w:rPr>
          <w:rFonts w:ascii="Libre Franklin" w:cs="Libre Franklin" w:eastAsia="Libre Franklin" w:hAnsi="Libre Franklin"/>
          <w:color w:val="2c3040"/>
          <w:sz w:val="22"/>
          <w:szCs w:val="22"/>
        </w:rPr>
      </w:pPr>
      <w:r w:rsidDel="00000000" w:rsidR="00000000" w:rsidRPr="00000000">
        <w:rPr>
          <w:rFonts w:ascii="Libre Franklin" w:cs="Libre Franklin" w:eastAsia="Libre Franklin" w:hAnsi="Libre Franklin"/>
          <w:color w:val="2c3040"/>
          <w:sz w:val="22"/>
          <w:szCs w:val="22"/>
          <w:rtl w:val="0"/>
        </w:rPr>
        <w:t xml:space="preserve">This work is led end-to-end by Spencer, with no handoffs between analysts and senior leads. This produces consistency in assumptions, faster iteration cycles, and a framework that reflects how Google.org actually operates in practice. Where specialized analytical support is needed, for example, structured literature synthesis on apprenticeship measurement standards or comparative benchmark compilation across national systems, SRA engages focused, accountable contributors on a project basis without adding handoffs or coordination overhead.</w:t>
      </w:r>
    </w:p>
    <w:p w:rsidR="00000000" w:rsidDel="00000000" w:rsidP="00000000" w:rsidRDefault="00000000" w:rsidRPr="00000000" w14:paraId="00000015">
      <w:pPr>
        <w:spacing w:after="120" w:before="280" w:lineRule="auto"/>
        <w:rPr>
          <w:b w:val="1"/>
          <w:bCs w:val="1"/>
          <w:smallCaps w:val="1"/>
          <w:color w:val="1f3d2b"/>
          <w:sz w:val="26"/>
          <w:szCs w:val="26"/>
        </w:rPr>
      </w:pPr>
      <w:r w:rsidDel="00000000" w:rsidR="00000000" w:rsidRPr="00000000">
        <w:rPr>
          <w:b w:val="1"/>
          <w:bCs w:val="1"/>
          <w:smallCaps w:val="1"/>
          <w:color w:val="1f3d2b"/>
          <w:sz w:val="26"/>
          <w:szCs w:val="26"/>
          <w:rtl w:val="0"/>
        </w:rPr>
        <w:t xml:space="preserve">Rigorous and practical</w:t>
      </w:r>
    </w:p>
    <w:p w:rsidR="00000000" w:rsidDel="00000000" w:rsidP="00000000" w:rsidRDefault="00000000" w:rsidRPr="00000000" w14:paraId="00000016">
      <w:pPr>
        <w:spacing w:after="160" w:line="336" w:lineRule="auto"/>
        <w:rPr>
          <w:b w:val="1"/>
          <w:bCs w:val="1"/>
          <w:smallCaps w:val="1"/>
          <w:color w:val="1f3d2b"/>
          <w:sz w:val="26"/>
          <w:szCs w:val="26"/>
        </w:rPr>
      </w:pPr>
      <w:r w:rsidDel="00000000" w:rsidR="00000000" w:rsidRPr="00000000">
        <w:rPr>
          <w:rtl w:val="0"/>
        </w:rPr>
        <w:t xml:space="preserve">Spencer's unique experience working across the research, nonprofit, grantmaking, and consulting sectors has enabled him to find the intersection between methodological rigor and implementation practicality. Counterfactual attribution is genuinely hard. Outside the narrow set of cases where experimental or quasi-experimental designs are available, defensible attribution requires deliberate methodological choices that balance rigor against what grantees can realistically report. Across the apprenticeship organizations Google.org reaches each year, capability and data readiness will vary widely, and a framework that demands more than grantees can deliver will produce thin compliance reporting rather than usable impact data. The framework Spencer will build is designed for that reality: methodologically defensible, and feasible for the actual grantee population it will be applied to.</w:t>
      </w:r>
      <w:r w:rsidDel="00000000" w:rsidR="00000000" w:rsidRPr="00000000">
        <w:rPr>
          <w:rtl w:val="0"/>
        </w:rPr>
      </w:r>
    </w:p>
    <w:p w:rsidR="00000000" w:rsidDel="00000000" w:rsidP="00000000" w:rsidRDefault="00000000" w:rsidRPr="00000000" w14:paraId="00000017">
      <w:pPr>
        <w:spacing w:after="120" w:before="280" w:lineRule="auto"/>
        <w:rPr>
          <w:b w:val="1"/>
          <w:bCs w:val="1"/>
          <w:sz w:val="26"/>
          <w:szCs w:val="26"/>
        </w:rPr>
      </w:pPr>
      <w:r w:rsidDel="00000000" w:rsidR="00000000" w:rsidRPr="00000000">
        <w:rPr>
          <w:b w:val="1"/>
          <w:bCs w:val="1"/>
          <w:smallCaps w:val="1"/>
          <w:color w:val="1f3d2b"/>
          <w:sz w:val="26"/>
          <w:szCs w:val="26"/>
          <w:rtl w:val="0"/>
        </w:rPr>
        <w:t xml:space="preserve">Complete transparency and consistency</w:t>
      </w:r>
      <w:r w:rsidDel="00000000" w:rsidR="00000000" w:rsidRPr="00000000">
        <w:rPr>
          <w:rtl w:val="0"/>
        </w:rPr>
      </w:r>
    </w:p>
    <w:p w:rsidR="00000000" w:rsidDel="00000000" w:rsidP="00000000" w:rsidRDefault="00000000" w:rsidRPr="00000000" w14:paraId="00000018">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Every metric, attribution rule, and counterfactual assumption in the framework will be explicitly documented and justified. </w:t>
      </w:r>
      <w:r w:rsidDel="00000000" w:rsidR="00000000" w:rsidRPr="00000000">
        <w:rPr>
          <w:rtl w:val="0"/>
        </w:rPr>
        <w:t xml:space="preserve">Attribution at the ecosystem level always involves judgment. The framework will document the evidence base and confidence level behind each attribution claim, so the tradeoffs are explicit rather than buried in methodology.</w:t>
      </w:r>
      <w:r w:rsidDel="00000000" w:rsidR="00000000" w:rsidRPr="00000000">
        <w:rPr>
          <w:rFonts w:ascii="Libre Franklin" w:cs="Libre Franklin" w:eastAsia="Libre Franklin" w:hAnsi="Libre Franklin"/>
          <w:color w:val="2c3040"/>
          <w:sz w:val="22"/>
          <w:szCs w:val="22"/>
          <w:rtl w:val="0"/>
        </w:rPr>
        <w:t xml:space="preserve"> The goal is decision-ready metrics grounded in the best available evidence, with clear tradeoffs that Google.org leadership can explain and defend internally and externally.</w:t>
      </w:r>
      <w:r w:rsidDel="00000000" w:rsidR="00000000" w:rsidRPr="00000000">
        <w:rPr>
          <w:rtl w:val="0"/>
        </w:rPr>
      </w:r>
    </w:p>
    <w:p w:rsidR="00000000" w:rsidDel="00000000" w:rsidP="00000000" w:rsidRDefault="00000000" w:rsidRPr="00000000" w14:paraId="00000019">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Methodological foundations</w:t>
      </w:r>
      <w:r w:rsidDel="00000000" w:rsidR="00000000" w:rsidRPr="00000000">
        <w:rPr>
          <w:rtl w:val="0"/>
        </w:rPr>
      </w:r>
    </w:p>
    <w:p w:rsidR="00000000" w:rsidDel="00000000" w:rsidP="00000000" w:rsidRDefault="00000000" w:rsidRPr="00000000" w14:paraId="0000001A">
      <w:pPr>
        <w:spacing w:after="120" w:before="0" w:line="336" w:lineRule="auto"/>
        <w:rPr>
          <w:rFonts w:ascii="Libre Franklin" w:cs="Libre Franklin" w:eastAsia="Libre Franklin" w:hAnsi="Libre Franklin"/>
          <w:color w:val="2c3040"/>
          <w:sz w:val="22"/>
          <w:szCs w:val="22"/>
        </w:rPr>
      </w:pPr>
      <w:r w:rsidDel="00000000" w:rsidR="00000000" w:rsidRPr="00000000">
        <w:rPr>
          <w:rFonts w:ascii="Libre Franklin" w:cs="Libre Franklin" w:eastAsia="Libre Franklin" w:hAnsi="Libre Franklin"/>
          <w:color w:val="2c3040"/>
          <w:sz w:val="22"/>
          <w:szCs w:val="22"/>
          <w:rtl w:val="0"/>
        </w:rPr>
        <w:t xml:space="preserve">The headline measurement challenge for the Apprenticeship NSG is attribution: distinguishing what Google.org directly produces through its own apprenticeship program from what it catalyzes across the broader ecosystem through grants, thought leadership, convenings, open-sourced content, and government engagement. The framework is built around three layers of measurement, each with a defensible methodological anchor, that together produce a credible, proportionate account of Google.org’s holistic contribution</w:t>
      </w:r>
    </w:p>
    <w:p w:rsidR="00000000" w:rsidDel="00000000" w:rsidP="00000000" w:rsidRDefault="00000000" w:rsidRPr="00000000" w14:paraId="0000001B">
      <w:pPr>
        <w:spacing w:after="80" w:before="240" w:line="336" w:lineRule="auto"/>
        <w:rPr>
          <w:rFonts w:ascii="Libre Franklin SemiBold" w:cs="Libre Franklin SemiBold" w:eastAsia="Libre Franklin SemiBold" w:hAnsi="Libre Franklin SemiBold"/>
          <w:b w:val="1"/>
          <w:bCs w:val="1"/>
          <w:color w:val="1f3d2b"/>
          <w:sz w:val="24"/>
          <w:szCs w:val="24"/>
        </w:rPr>
      </w:pPr>
      <w:r w:rsidDel="00000000" w:rsidR="00000000" w:rsidRPr="00000000">
        <w:rPr>
          <w:rFonts w:ascii="Libre Franklin SemiBold" w:cs="Libre Franklin SemiBold" w:eastAsia="Libre Franklin SemiBold" w:hAnsi="Libre Franklin SemiBold"/>
          <w:b w:val="1"/>
          <w:bCs w:val="1"/>
          <w:color w:val="1f3d2b"/>
          <w:sz w:val="24"/>
          <w:szCs w:val="24"/>
          <w:rtl w:val="0"/>
        </w:rPr>
        <w:t xml:space="preserve">Layer 1: direct program outcomes</w:t>
      </w:r>
    </w:p>
    <w:p w:rsidR="00000000" w:rsidDel="00000000" w:rsidP="00000000" w:rsidRDefault="00000000" w:rsidRPr="00000000" w14:paraId="0000001C">
      <w:pPr>
        <w:spacing w:after="120" w:before="0" w:line="336" w:lineRule="auto"/>
        <w:rPr>
          <w:rFonts w:ascii="Libre Franklin" w:cs="Libre Franklin" w:eastAsia="Libre Franklin" w:hAnsi="Libre Franklin"/>
          <w:color w:val="2c3040"/>
          <w:sz w:val="22"/>
          <w:szCs w:val="22"/>
        </w:rPr>
      </w:pPr>
      <w:r w:rsidDel="00000000" w:rsidR="00000000" w:rsidRPr="00000000">
        <w:rPr>
          <w:rFonts w:ascii="Libre Franklin" w:cs="Libre Franklin" w:eastAsia="Libre Franklin" w:hAnsi="Libre Franklin"/>
          <w:color w:val="2c3040"/>
          <w:sz w:val="22"/>
          <w:szCs w:val="22"/>
          <w:rtl w:val="0"/>
        </w:rPr>
        <w:t xml:space="preserve">Direct outcomes from Google-run apprenticeships are valued through established workforce development measurement </w:t>
      </w:r>
      <w:r w:rsidDel="00000000" w:rsidR="00000000" w:rsidRPr="00000000">
        <w:rPr>
          <w:rtl w:val="0"/>
        </w:rPr>
        <w:t xml:space="preserve">standards (</w:t>
      </w:r>
      <w:r w:rsidDel="00000000" w:rsidR="00000000" w:rsidRPr="00000000">
        <w:rPr>
          <w:rFonts w:ascii="Libre Franklin" w:cs="Libre Franklin" w:eastAsia="Libre Franklin" w:hAnsi="Libre Franklin"/>
          <w:color w:val="2c3040"/>
          <w:sz w:val="22"/>
          <w:szCs w:val="22"/>
          <w:rtl w:val="0"/>
        </w:rPr>
        <w:t xml:space="preserve">ILO and OECD frameworks for apprenticeship quality, the US Department of Labor </w:t>
      </w:r>
      <w:hyperlink r:id="rId7">
        <w:r w:rsidDel="00000000" w:rsidR="00000000" w:rsidRPr="00000000">
          <w:rPr>
            <w:rFonts w:ascii="Libre Franklin" w:cs="Libre Franklin" w:eastAsia="Libre Franklin" w:hAnsi="Libre Franklin"/>
            <w:color w:val="1155cc"/>
            <w:sz w:val="22"/>
            <w:szCs w:val="22"/>
            <w:u w:val="single"/>
            <w:rtl w:val="0"/>
          </w:rPr>
          <w:t xml:space="preserve">Office of Apprenticeship</w:t>
        </w:r>
      </w:hyperlink>
      <w:r w:rsidDel="00000000" w:rsidR="00000000" w:rsidRPr="00000000">
        <w:rPr>
          <w:rFonts w:ascii="Libre Franklin" w:cs="Libre Franklin" w:eastAsia="Libre Franklin" w:hAnsi="Libre Franklin"/>
          <w:color w:val="2c3040"/>
          <w:sz w:val="22"/>
          <w:szCs w:val="22"/>
          <w:rtl w:val="0"/>
        </w:rPr>
        <w:t xml:space="preserve"> indicators)</w:t>
      </w:r>
      <w:r w:rsidDel="00000000" w:rsidR="00000000" w:rsidRPr="00000000">
        <w:rPr>
          <w:rtl w:val="0"/>
        </w:rPr>
        <w:t xml:space="preserve">. </w:t>
      </w:r>
      <w:r w:rsidDel="00000000" w:rsidR="00000000" w:rsidRPr="00000000">
        <w:rPr>
          <w:rFonts w:ascii="Libre Franklin" w:cs="Libre Franklin" w:eastAsia="Libre Franklin" w:hAnsi="Libre Franklin"/>
          <w:color w:val="2c3040"/>
          <w:sz w:val="22"/>
          <w:szCs w:val="22"/>
          <w:rtl w:val="0"/>
        </w:rPr>
        <w:t xml:space="preserve">The four GP metrics (program completion, post-completion meaningful opportunity, apprentice confidence, and thought leadership engagements) will be validated against these standards, refined where the evidence supports stronger or more defensible alternatives, and supplemented with the apprentice-level outcome metrics that the academic evaluation literature identifies as most predictive of long-term workforce outcomes. Google has the most cont</w:t>
      </w:r>
      <w:r w:rsidDel="00000000" w:rsidR="00000000" w:rsidRPr="00000000">
        <w:rPr>
          <w:rtl w:val="0"/>
        </w:rPr>
        <w:t xml:space="preserve">rol with this layer as grantees and intermediaries can report impact directly.</w:t>
      </w:r>
      <w:r w:rsidDel="00000000" w:rsidR="00000000" w:rsidRPr="00000000">
        <w:rPr>
          <w:rtl w:val="0"/>
        </w:rPr>
      </w:r>
    </w:p>
    <w:p w:rsidR="00000000" w:rsidDel="00000000" w:rsidP="00000000" w:rsidRDefault="00000000" w:rsidRPr="00000000" w14:paraId="0000001D">
      <w:pPr>
        <w:spacing w:after="80" w:before="240" w:line="336" w:lineRule="auto"/>
        <w:rPr>
          <w:rFonts w:ascii="Libre Franklin SemiBold" w:cs="Libre Franklin SemiBold" w:eastAsia="Libre Franklin SemiBold" w:hAnsi="Libre Franklin SemiBold"/>
          <w:b w:val="1"/>
          <w:bCs w:val="1"/>
          <w:color w:val="1f3d2b"/>
          <w:sz w:val="24"/>
          <w:szCs w:val="24"/>
        </w:rPr>
      </w:pPr>
      <w:r w:rsidDel="00000000" w:rsidR="00000000" w:rsidRPr="00000000">
        <w:rPr>
          <w:rFonts w:ascii="Libre Franklin SemiBold" w:cs="Libre Franklin SemiBold" w:eastAsia="Libre Franklin SemiBold" w:hAnsi="Libre Franklin SemiBold"/>
          <w:b w:val="1"/>
          <w:bCs w:val="1"/>
          <w:color w:val="1f3d2b"/>
          <w:sz w:val="24"/>
          <w:szCs w:val="24"/>
          <w:rtl w:val="0"/>
        </w:rPr>
        <w:t xml:space="preserve">Layer 2: ecosystem influence and attribution</w:t>
      </w:r>
    </w:p>
    <w:p w:rsidR="00000000" w:rsidDel="00000000" w:rsidP="00000000" w:rsidRDefault="00000000" w:rsidRPr="00000000" w14:paraId="0000001E">
      <w:pPr>
        <w:spacing w:after="240" w:before="240" w:line="336" w:lineRule="auto"/>
        <w:rPr/>
      </w:pPr>
      <w:r w:rsidDel="00000000" w:rsidR="00000000" w:rsidRPr="00000000">
        <w:rPr>
          <w:rtl w:val="0"/>
        </w:rPr>
        <w:t xml:space="preserve">Ecosystem-level attribution claims of the kind required by this engagement will likely be handled in two layers. The first layer establishes whether Google.org's contribution to a given outcome was material, given that other actors were also operating in the ecosystem and other factors plausibly influenced the result. </w:t>
      </w:r>
      <w:hyperlink r:id="rId8">
        <w:r w:rsidDel="00000000" w:rsidR="00000000" w:rsidRPr="00000000">
          <w:rPr>
            <w:color w:val="1155cc"/>
            <w:u w:val="single"/>
            <w:rtl w:val="0"/>
          </w:rPr>
          <w:t xml:space="preserve">Mayne's contribution analysis (2008)</w:t>
        </w:r>
      </w:hyperlink>
      <w:r w:rsidDel="00000000" w:rsidR="00000000" w:rsidRPr="00000000">
        <w:rPr>
          <w:rtl w:val="0"/>
        </w:rPr>
        <w:t xml:space="preserve">, as developed in subsequent work by </w:t>
      </w:r>
      <w:hyperlink r:id="rId9">
        <w:r w:rsidDel="00000000" w:rsidR="00000000" w:rsidRPr="00000000">
          <w:rPr>
            <w:color w:val="1155cc"/>
            <w:u w:val="single"/>
            <w:rtl w:val="0"/>
          </w:rPr>
          <w:t xml:space="preserve">Ton, Mayne, Delahais (2019)</w:t>
        </w:r>
      </w:hyperlink>
      <w:r w:rsidDel="00000000" w:rsidR="00000000" w:rsidRPr="00000000">
        <w:rPr>
          <w:rtl w:val="0"/>
        </w:rPr>
        <w:t xml:space="preserve"> is one established method for this. It builds a documented theory of change, gathers evidence at each link in the causal chain, and assesses the resulting contribution claim against alternative explanations. The output is a defensible narrative judgment that Google.org's contribution was, or was not, material.  The contribution analysis is supplemented with intermediary milestone metrics for ecosystem trust, credibility, and influence, drawing on the indicators developed in the systems-change and collective-impact literature (for example, </w:t>
      </w:r>
      <w:hyperlink r:id="rId10">
        <w:r w:rsidDel="00000000" w:rsidR="00000000" w:rsidRPr="00000000">
          <w:rPr>
            <w:color w:val="1155cc"/>
            <w:u w:val="single"/>
            <w:rtl w:val="0"/>
          </w:rPr>
          <w:t xml:space="preserve">The Water of Systems Change</w:t>
        </w:r>
      </w:hyperlink>
      <w:r w:rsidDel="00000000" w:rsidR="00000000" w:rsidRPr="00000000">
        <w:rPr>
          <w:rtl w:val="0"/>
        </w:rPr>
        <w:t xml:space="preserve">, and the </w:t>
      </w:r>
      <w:hyperlink r:id="rId11">
        <w:r w:rsidDel="00000000" w:rsidR="00000000" w:rsidRPr="00000000">
          <w:rPr>
            <w:color w:val="1155cc"/>
            <w:u w:val="single"/>
            <w:rtl w:val="0"/>
          </w:rPr>
          <w:t xml:space="preserve">Collective Impact</w:t>
        </w:r>
      </w:hyperlink>
      <w:r w:rsidDel="00000000" w:rsidR="00000000" w:rsidRPr="00000000">
        <w:rPr>
          <w:rtl w:val="0"/>
        </w:rPr>
        <w:t xml:space="preserve"> framework).</w:t>
      </w:r>
    </w:p>
    <w:p w:rsidR="00000000" w:rsidDel="00000000" w:rsidP="00000000" w:rsidRDefault="00000000" w:rsidRPr="00000000" w14:paraId="0000001F">
      <w:pPr>
        <w:spacing w:after="240" w:before="240" w:line="336" w:lineRule="auto"/>
        <w:rPr/>
      </w:pPr>
      <w:r w:rsidDel="00000000" w:rsidR="00000000" w:rsidRPr="00000000">
        <w:rPr>
          <w:rtl w:val="0"/>
        </w:rPr>
        <w:t xml:space="preserve">The second layer translates a confirmed material contribution into a quantified attribution share. </w:t>
      </w:r>
      <w:r w:rsidDel="00000000" w:rsidR="00000000" w:rsidRPr="00000000">
        <w:rPr>
          <w:rFonts w:ascii="Libre Franklin" w:cs="Libre Franklin" w:eastAsia="Libre Franklin" w:hAnsi="Libre Franklin"/>
          <w:color w:val="2c3040"/>
          <w:sz w:val="22"/>
          <w:szCs w:val="22"/>
          <w:rtl w:val="0"/>
        </w:rPr>
        <w:t xml:space="preserve">Attribution </w:t>
      </w:r>
      <w:r w:rsidDel="00000000" w:rsidR="00000000" w:rsidRPr="00000000">
        <w:rPr>
          <w:rtl w:val="0"/>
        </w:rPr>
        <w:t xml:space="preserve">approaches may include a combination of funding proportion, Shapley value logic, or a rubric-based weighted attribution framework. </w:t>
      </w:r>
      <w:r w:rsidDel="00000000" w:rsidR="00000000" w:rsidRPr="00000000">
        <w:rPr>
          <w:rFonts w:ascii="Libre Franklin" w:cs="Libre Franklin" w:eastAsia="Libre Franklin" w:hAnsi="Libre Franklin"/>
          <w:color w:val="2c3040"/>
          <w:sz w:val="22"/>
          <w:szCs w:val="22"/>
          <w:rtl w:val="0"/>
        </w:rPr>
        <w:t xml:space="preserve">The result is a tiered attribution structure with explicit confidence levels, so that high-confidence direct claims and lower-confidence ecosystem claims are reported transparently</w:t>
      </w:r>
      <w:r w:rsidDel="00000000" w:rsidR="00000000" w:rsidRPr="00000000">
        <w:rPr>
          <w:rtl w:val="0"/>
        </w:rPr>
        <w:t xml:space="preserve">.</w:t>
      </w:r>
    </w:p>
    <w:p w:rsidR="00000000" w:rsidDel="00000000" w:rsidP="00000000" w:rsidRDefault="00000000" w:rsidRPr="00000000" w14:paraId="00000020">
      <w:pPr>
        <w:spacing w:after="240" w:before="240" w:line="336" w:lineRule="auto"/>
        <w:rPr/>
      </w:pPr>
      <w:r w:rsidDel="00000000" w:rsidR="00000000" w:rsidRPr="00000000">
        <w:rPr>
          <w:rtl w:val="0"/>
        </w:rPr>
        <w:t xml:space="preserve">This two-layer architecture lets the framework produce defensible quantified attribution for direct outcomes and the largest grantmaking investments, with explicit confidence ranges and narrative attribution for the broader ecosystem influence channels where point estimates may overreach.</w:t>
      </w:r>
    </w:p>
    <w:p w:rsidR="00000000" w:rsidDel="00000000" w:rsidP="00000000" w:rsidRDefault="00000000" w:rsidRPr="00000000" w14:paraId="00000021">
      <w:pPr>
        <w:spacing w:after="80" w:before="240" w:line="336" w:lineRule="auto"/>
        <w:rPr>
          <w:rFonts w:ascii="Libre Franklin SemiBold" w:cs="Libre Franklin SemiBold" w:eastAsia="Libre Franklin SemiBold" w:hAnsi="Libre Franklin SemiBold"/>
          <w:b w:val="1"/>
          <w:bCs w:val="1"/>
          <w:color w:val="1f3d2b"/>
          <w:sz w:val="24"/>
          <w:szCs w:val="24"/>
        </w:rPr>
      </w:pPr>
      <w:r w:rsidDel="00000000" w:rsidR="00000000" w:rsidRPr="00000000">
        <w:rPr>
          <w:rFonts w:ascii="Libre Franklin SemiBold" w:cs="Libre Franklin SemiBold" w:eastAsia="Libre Franklin SemiBold" w:hAnsi="Libre Franklin SemiBold"/>
          <w:b w:val="1"/>
          <w:bCs w:val="1"/>
          <w:color w:val="1f3d2b"/>
          <w:sz w:val="24"/>
          <w:szCs w:val="24"/>
          <w:rtl w:val="0"/>
        </w:rPr>
        <w:t xml:space="preserve">Layer 3: cross-pillar rollup and global comparability</w:t>
      </w:r>
    </w:p>
    <w:p w:rsidR="00000000" w:rsidDel="00000000" w:rsidP="00000000" w:rsidRDefault="00000000" w:rsidRPr="00000000" w14:paraId="00000022">
      <w:pPr>
        <w:spacing w:after="120" w:before="0" w:line="336" w:lineRule="auto"/>
        <w:rPr>
          <w:rFonts w:ascii="Libre Franklin" w:cs="Libre Franklin" w:eastAsia="Libre Franklin" w:hAnsi="Libre Franklin"/>
          <w:color w:val="2c3040"/>
          <w:sz w:val="22"/>
          <w:szCs w:val="22"/>
        </w:rPr>
      </w:pPr>
      <w:r w:rsidDel="00000000" w:rsidR="00000000" w:rsidRPr="00000000">
        <w:rPr>
          <w:rFonts w:ascii="Libre Franklin" w:cs="Libre Franklin" w:eastAsia="Libre Franklin" w:hAnsi="Libre Franklin"/>
          <w:color w:val="2c3040"/>
          <w:sz w:val="22"/>
          <w:szCs w:val="22"/>
          <w:rtl w:val="0"/>
        </w:rPr>
        <w:t xml:space="preserve">The RFP requires that the framework accommodate apprenticeship grants from other pillars (notably KSL) and produce a defensible global reporting standard despite significant regional variation in apprenticeship structures. Cross-pillar rollup is handled through a shared attribution taxonomy applied consistently to GP, KSL, and any other pillar grants that fund apprenticeship work, with explicit rules for avoiding double-counting where a single grantee receives funding from multiple pillars. Global comparability is handled through a regional adaptation layer that maps local apprenticeship structures (US registered apprenticeship, UK levy-funded apprenticeships, German dual system, European-framework apprenticeships, and emerging-market technology apprenticeship models) onto a common outcome and quality standard, and may draw on the </w:t>
      </w:r>
      <w:hyperlink r:id="rId12">
        <w:r w:rsidDel="00000000" w:rsidR="00000000" w:rsidRPr="00000000">
          <w:rPr>
            <w:rFonts w:ascii="Libre Franklin" w:cs="Libre Franklin" w:eastAsia="Libre Franklin" w:hAnsi="Libre Franklin"/>
            <w:color w:val="1155cc"/>
            <w:sz w:val="22"/>
            <w:szCs w:val="22"/>
            <w:u w:val="single"/>
            <w:rtl w:val="0"/>
          </w:rPr>
          <w:t xml:space="preserve">ILO Quality Apprenticeships Recommendation 2023 Guide for Policymakers</w:t>
        </w:r>
      </w:hyperlink>
      <w:r w:rsidDel="00000000" w:rsidR="00000000" w:rsidRPr="00000000">
        <w:rPr>
          <w:rFonts w:ascii="Libre Franklin" w:cs="Libre Franklin" w:eastAsia="Libre Franklin" w:hAnsi="Libre Franklin"/>
          <w:color w:val="2c3040"/>
          <w:sz w:val="22"/>
          <w:szCs w:val="22"/>
          <w:rtl w:val="0"/>
        </w:rPr>
        <w:t xml:space="preserve">, and </w:t>
      </w:r>
      <w:hyperlink r:id="rId13">
        <w:r w:rsidDel="00000000" w:rsidR="00000000" w:rsidRPr="00000000">
          <w:rPr>
            <w:rFonts w:ascii="Libre Franklin" w:cs="Libre Franklin" w:eastAsia="Libre Franklin" w:hAnsi="Libre Franklin"/>
            <w:color w:val="1155cc"/>
            <w:sz w:val="22"/>
            <w:szCs w:val="22"/>
            <w:u w:val="single"/>
            <w:rtl w:val="0"/>
          </w:rPr>
          <w:t xml:space="preserve">CEDEFOP's </w:t>
        </w:r>
      </w:hyperlink>
      <w:hyperlink r:id="rId14">
        <w:r w:rsidDel="00000000" w:rsidR="00000000" w:rsidRPr="00000000">
          <w:rPr>
            <w:color w:val="1155cc"/>
            <w:u w:val="single"/>
            <w:rtl w:val="0"/>
          </w:rPr>
          <w:t xml:space="preserve">apprenticeship datasets</w:t>
        </w:r>
      </w:hyperlink>
      <w:r w:rsidDel="00000000" w:rsidR="00000000" w:rsidRPr="00000000">
        <w:rPr>
          <w:rFonts w:ascii="Libre Franklin" w:cs="Libre Franklin" w:eastAsia="Libre Franklin" w:hAnsi="Libre Franklin"/>
          <w:color w:val="2c3040"/>
          <w:sz w:val="22"/>
          <w:szCs w:val="22"/>
          <w:rtl w:val="0"/>
        </w:rPr>
        <w:t xml:space="preserve"> as cross-</w:t>
      </w:r>
      <w:r w:rsidDel="00000000" w:rsidR="00000000" w:rsidRPr="00000000">
        <w:rPr>
          <w:rtl w:val="0"/>
        </w:rPr>
        <w:t xml:space="preserve">country</w:t>
      </w:r>
      <w:r w:rsidDel="00000000" w:rsidR="00000000" w:rsidRPr="00000000">
        <w:rPr>
          <w:rFonts w:ascii="Libre Franklin" w:cs="Libre Franklin" w:eastAsia="Libre Franklin" w:hAnsi="Libre Franklin"/>
          <w:color w:val="2c3040"/>
          <w:sz w:val="22"/>
          <w:szCs w:val="22"/>
          <w:rtl w:val="0"/>
        </w:rPr>
        <w:t xml:space="preserve"> references.</w:t>
      </w:r>
    </w:p>
    <w:p w:rsidR="00000000" w:rsidDel="00000000" w:rsidP="00000000" w:rsidRDefault="00000000" w:rsidRPr="00000000" w14:paraId="00000023">
      <w:pPr>
        <w:spacing w:after="120" w:before="0" w:line="336" w:lineRule="auto"/>
        <w:rPr>
          <w:rFonts w:ascii="Libre Franklin" w:cs="Libre Franklin" w:eastAsia="Libre Franklin" w:hAnsi="Libre Franklin"/>
          <w:color w:val="2c3040"/>
          <w:sz w:val="22"/>
          <w:szCs w:val="22"/>
        </w:rPr>
      </w:pPr>
      <w:r w:rsidDel="00000000" w:rsidR="00000000" w:rsidRPr="00000000">
        <w:rPr>
          <w:rtl w:val="0"/>
        </w:rPr>
      </w:r>
    </w:p>
    <w:p w:rsidR="00000000" w:rsidDel="00000000" w:rsidP="00000000" w:rsidRDefault="00000000" w:rsidRPr="00000000" w14:paraId="00000024">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Approach: four phases, eight weeks</w:t>
      </w:r>
      <w:r w:rsidDel="00000000" w:rsidR="00000000" w:rsidRPr="00000000">
        <w:rPr>
          <w:rtl w:val="0"/>
        </w:rPr>
      </w:r>
    </w:p>
    <w:p w:rsidR="00000000" w:rsidDel="00000000" w:rsidP="00000000" w:rsidRDefault="00000000" w:rsidRPr="00000000" w14:paraId="00000025">
      <w:pPr>
        <w:spacing w:after="160" w:before="0" w:line="336" w:lineRule="auto"/>
        <w:rPr/>
      </w:pPr>
      <w:r w:rsidDel="00000000" w:rsidR="00000000" w:rsidRPr="00000000">
        <w:rPr>
          <w:rtl w:val="0"/>
        </w:rPr>
        <w:t xml:space="preserve">The project runs from early June to July 31, 2026. The Apprenticeships team receives structured design sessions, and a weekly sync with the Research &amp; Evaluation lead keeps decisions on cadence and prevents surprises at delivery. The approach also includes coordination with other pillar teams whose grants touch apprenticeship work (notably KSL), so the framework rolls up cleanly across pillars rather than treating GP investments in isolation.</w:t>
      </w:r>
    </w:p>
    <w:p w:rsidR="00000000" w:rsidDel="00000000" w:rsidP="00000000" w:rsidRDefault="00000000" w:rsidRPr="00000000" w14:paraId="00000026">
      <w:pPr>
        <w:spacing w:after="80" w:before="220" w:lineRule="auto"/>
        <w:rPr>
          <w:b w:val="1"/>
          <w:bCs w:val="1"/>
          <w:sz w:val="26"/>
          <w:szCs w:val="26"/>
        </w:rPr>
      </w:pPr>
      <w:r w:rsidDel="00000000" w:rsidR="00000000" w:rsidRPr="00000000">
        <w:rPr>
          <w:b w:val="1"/>
          <w:bCs w:val="1"/>
          <w:smallCaps w:val="1"/>
          <w:color w:val="1f3d2b"/>
          <w:sz w:val="26"/>
          <w:szCs w:val="26"/>
          <w:rtl w:val="0"/>
        </w:rPr>
        <w:t xml:space="preserve">Phase 1: Discovery and metric design  |  Week 1 - 2</w:t>
      </w:r>
      <w:r w:rsidDel="00000000" w:rsidR="00000000" w:rsidRPr="00000000">
        <w:rPr>
          <w:rtl w:val="0"/>
        </w:rPr>
      </w:r>
    </w:p>
    <w:p w:rsidR="00000000" w:rsidDel="00000000" w:rsidP="00000000" w:rsidRDefault="00000000" w:rsidRPr="00000000" w14:paraId="00000027">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Clarify the intended internal and external uses of the framework, confirm decision points, and align on scope with the Apprenticeships team, the Research &amp; Evaluation team, and KSL counterparts whose grants touch apprenticeship work.</w:t>
      </w:r>
      <w:r w:rsidDel="00000000" w:rsidR="00000000" w:rsidRPr="00000000">
        <w:rPr>
          <w:rtl w:val="0"/>
        </w:rPr>
      </w:r>
    </w:p>
    <w:p w:rsidR="00000000" w:rsidDel="00000000" w:rsidP="00000000" w:rsidRDefault="00000000" w:rsidRPr="00000000" w14:paraId="00000028">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Gather existing materials, including prior measurement work, current GP and KSL apprenticeship grant records, </w:t>
      </w:r>
      <w:r w:rsidDel="00000000" w:rsidR="00000000" w:rsidRPr="00000000">
        <w:rPr>
          <w:rtl w:val="0"/>
        </w:rPr>
        <w:t xml:space="preserve">current ecosystem investment documents, </w:t>
      </w:r>
      <w:r w:rsidDel="00000000" w:rsidR="00000000" w:rsidRPr="00000000">
        <w:rPr>
          <w:rFonts w:ascii="Libre Franklin" w:cs="Libre Franklin" w:eastAsia="Libre Franklin" w:hAnsi="Libre Franklin"/>
          <w:color w:val="2c3040"/>
          <w:sz w:val="22"/>
          <w:szCs w:val="22"/>
          <w:rtl w:val="0"/>
        </w:rPr>
        <w:t xml:space="preserve">the four current GP2 metrics (GP2-HM, GP2-AM1 through GP2-AM3), and the Annual Cycle Reporting Form.</w:t>
      </w:r>
      <w:r w:rsidDel="00000000" w:rsidR="00000000" w:rsidRPr="00000000">
        <w:rPr>
          <w:rtl w:val="0"/>
        </w:rPr>
      </w:r>
    </w:p>
    <w:p w:rsidR="00000000" w:rsidDel="00000000" w:rsidP="00000000" w:rsidRDefault="00000000" w:rsidRPr="00000000" w14:paraId="00000029">
      <w:pPr>
        <w:numPr>
          <w:ilvl w:val="0"/>
          <w:numId w:val="1"/>
        </w:numPr>
        <w:spacing w:after="100" w:before="0" w:line="336" w:lineRule="auto"/>
        <w:ind w:left="720" w:hanging="360"/>
        <w:rPr>
          <w:u w:val="none"/>
        </w:rPr>
      </w:pPr>
      <w:r w:rsidDel="00000000" w:rsidR="00000000" w:rsidRPr="00000000">
        <w:rPr>
          <w:rtl w:val="0"/>
        </w:rPr>
        <w:t xml:space="preserve">Targeted literature synthesis on apprenticeship measurement standards (ILO Recommendations, OECD frameworks, US DOL, UK IfATE), corporate ecosystem-influence measurement frameworks, and the academic evaluation literature on apprenticeship outcomes and ecosystem effects.</w:t>
      </w:r>
      <w:r w:rsidDel="00000000" w:rsidR="00000000" w:rsidRPr="00000000">
        <w:rPr>
          <w:rtl w:val="0"/>
        </w:rPr>
      </w:r>
    </w:p>
    <w:p w:rsidR="00000000" w:rsidDel="00000000" w:rsidP="00000000" w:rsidRDefault="00000000" w:rsidRPr="00000000" w14:paraId="0000002A">
      <w:pPr>
        <w:numPr>
          <w:ilvl w:val="0"/>
          <w:numId w:val="1"/>
        </w:numPr>
        <w:spacing w:after="100" w:line="336" w:lineRule="auto"/>
        <w:ind w:left="720" w:hanging="360"/>
        <w:rPr/>
      </w:pPr>
      <w:r w:rsidDel="00000000" w:rsidR="00000000" w:rsidRPr="00000000">
        <w:rPr>
          <w:rtl w:val="0"/>
        </w:rPr>
        <w:t xml:space="preserve">Establish weekly sync cadence with Research &amp; Evaluation, and a bi-weekly check-in with the Apprenticeships team lead(s), and confirm Apprenticeships team availability for design and feedback sessions in weeks 2 and 6.</w:t>
      </w:r>
    </w:p>
    <w:p w:rsidR="00000000" w:rsidDel="00000000" w:rsidP="00000000" w:rsidRDefault="00000000" w:rsidRPr="00000000" w14:paraId="0000002B">
      <w:pPr>
        <w:numPr>
          <w:ilvl w:val="0"/>
          <w:numId w:val="1"/>
        </w:numPr>
        <w:spacing w:after="100" w:before="0" w:line="336" w:lineRule="auto"/>
        <w:ind w:left="720" w:hanging="360"/>
        <w:rPr>
          <w:u w:val="none"/>
        </w:rPr>
      </w:pPr>
      <w:r w:rsidDel="00000000" w:rsidR="00000000" w:rsidRPr="00000000">
        <w:rPr>
          <w:b w:val="1"/>
          <w:bCs w:val="1"/>
          <w:rtl w:val="0"/>
        </w:rPr>
        <w:t xml:space="preserve">Design session 1</w:t>
      </w:r>
      <w:r w:rsidDel="00000000" w:rsidR="00000000" w:rsidRPr="00000000">
        <w:rPr>
          <w:rtl w:val="0"/>
        </w:rPr>
        <w:t xml:space="preserve"> with the Apprenticeships team, focused on outcome mapping across the four NSG outcome streams (economic spillovers, job placement, technology-focused apprenticeships, broader skill access), refinement of the GP2 metric set, and initial design of the direct-versus-ecosystem distinction.</w:t>
      </w:r>
      <w:r w:rsidDel="00000000" w:rsidR="00000000" w:rsidRPr="00000000">
        <w:rPr>
          <w:rtl w:val="0"/>
        </w:rPr>
      </w:r>
    </w:p>
    <w:p w:rsidR="00000000" w:rsidDel="00000000" w:rsidP="00000000" w:rsidRDefault="00000000" w:rsidRPr="00000000" w14:paraId="0000002C">
      <w:pPr>
        <w:spacing w:after="80" w:before="220" w:lineRule="auto"/>
        <w:rPr>
          <w:b w:val="1"/>
          <w:bCs w:val="1"/>
          <w:sz w:val="26"/>
          <w:szCs w:val="26"/>
        </w:rPr>
      </w:pPr>
      <w:r w:rsidDel="00000000" w:rsidR="00000000" w:rsidRPr="00000000">
        <w:rPr>
          <w:b w:val="1"/>
          <w:bCs w:val="1"/>
          <w:smallCaps w:val="1"/>
          <w:color w:val="1f3d2b"/>
          <w:sz w:val="26"/>
          <w:szCs w:val="26"/>
          <w:rtl w:val="0"/>
        </w:rPr>
        <w:t xml:space="preserve">Phase 2: Attribution framework development |  Weeks 3 - 5</w:t>
      </w:r>
      <w:r w:rsidDel="00000000" w:rsidR="00000000" w:rsidRPr="00000000">
        <w:rPr>
          <w:rtl w:val="0"/>
        </w:rPr>
      </w:r>
    </w:p>
    <w:p w:rsidR="00000000" w:rsidDel="00000000" w:rsidP="00000000" w:rsidRDefault="00000000" w:rsidRPr="00000000" w14:paraId="0000002D">
      <w:pPr>
        <w:numPr>
          <w:ilvl w:val="0"/>
          <w:numId w:val="1"/>
        </w:numPr>
        <w:spacing w:after="100" w:before="0" w:line="336" w:lineRule="auto"/>
        <w:ind w:left="720" w:hanging="360"/>
        <w:rPr/>
      </w:pPr>
      <w:r w:rsidDel="00000000" w:rsidR="00000000" w:rsidRPr="00000000">
        <w:rPr>
          <w:rtl w:val="0"/>
        </w:rPr>
        <w:t xml:space="preserve">This is the substantive methodological core of the engagement. Phase 2 develops the attribution logic across the six channels of ecosystem influence (incubating, grantmaking, thought leadership, convenings, research, content) and applies the appropriate methodology to each.</w:t>
      </w:r>
    </w:p>
    <w:p w:rsidR="00000000" w:rsidDel="00000000" w:rsidP="00000000" w:rsidRDefault="00000000" w:rsidRPr="00000000" w14:paraId="0000002E">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Counterfactual and attribution design, defining how Google.org’s contribution to ecosystem-level apprenticeship outcomes will be estimated relative to what would have happened in the absence of its funding, thought leadership, and convening activity.</w:t>
      </w:r>
      <w:r w:rsidDel="00000000" w:rsidR="00000000" w:rsidRPr="00000000">
        <w:rPr>
          <w:rtl w:val="0"/>
        </w:rPr>
      </w:r>
    </w:p>
    <w:p w:rsidR="00000000" w:rsidDel="00000000" w:rsidP="00000000" w:rsidRDefault="00000000" w:rsidRPr="00000000" w14:paraId="0000002F">
      <w:pPr>
        <w:numPr>
          <w:ilvl w:val="0"/>
          <w:numId w:val="1"/>
        </w:numPr>
        <w:spacing w:after="100" w:before="0" w:line="336" w:lineRule="auto"/>
        <w:ind w:left="720" w:hanging="360"/>
        <w:rPr>
          <w:u w:val="none"/>
        </w:rPr>
      </w:pPr>
      <w:r w:rsidDel="00000000" w:rsidR="00000000" w:rsidRPr="00000000">
        <w:rPr>
          <w:rtl w:val="0"/>
        </w:rPr>
        <w:t xml:space="preserve">Build the contribution analysis backbone as the default, with process tracing layered on for the highest-priority claims and additionality reasoning for grantmaking outcomes.</w:t>
      </w:r>
      <w:r w:rsidDel="00000000" w:rsidR="00000000" w:rsidRPr="00000000">
        <w:rPr>
          <w:rtl w:val="0"/>
        </w:rPr>
      </w:r>
    </w:p>
    <w:p w:rsidR="00000000" w:rsidDel="00000000" w:rsidP="00000000" w:rsidRDefault="00000000" w:rsidRPr="00000000" w14:paraId="00000030">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Grantee and ecosystem stakeholder input, incorporating a small sample of grantee and partner perspectives (identified by Google.org) to ground assumptions in implementation realities across regional contexts.</w:t>
      </w:r>
      <w:r w:rsidDel="00000000" w:rsidR="00000000" w:rsidRPr="00000000">
        <w:rPr>
          <w:rtl w:val="0"/>
        </w:rPr>
      </w:r>
    </w:p>
    <w:p w:rsidR="00000000" w:rsidDel="00000000" w:rsidP="00000000" w:rsidRDefault="00000000" w:rsidRPr="00000000" w14:paraId="00000031">
      <w:pPr>
        <w:numPr>
          <w:ilvl w:val="0"/>
          <w:numId w:val="1"/>
        </w:numPr>
        <w:spacing w:after="100" w:before="0" w:line="336" w:lineRule="auto"/>
        <w:ind w:left="720" w:hanging="360"/>
        <w:rPr/>
      </w:pPr>
      <w:r w:rsidDel="00000000" w:rsidR="00000000" w:rsidRPr="00000000">
        <w:rPr>
          <w:rtl w:val="0"/>
        </w:rPr>
        <w:t xml:space="preserve">Phase 2 produces the attribution framework document specifying the logic for each of the six channels, the three measurement populations (direct, grantee, ecosystem-influenced), and the intermediary milestone metrics.</w:t>
      </w:r>
    </w:p>
    <w:p w:rsidR="00000000" w:rsidDel="00000000" w:rsidP="00000000" w:rsidRDefault="00000000" w:rsidRPr="00000000" w14:paraId="00000032">
      <w:pPr>
        <w:spacing w:after="100" w:before="0" w:line="336" w:lineRule="auto"/>
        <w:ind w:left="720" w:firstLine="0"/>
        <w:rPr/>
      </w:pPr>
      <w:r w:rsidDel="00000000" w:rsidR="00000000" w:rsidRPr="00000000">
        <w:rPr>
          <w:rtl w:val="0"/>
        </w:rPr>
      </w:r>
    </w:p>
    <w:p w:rsidR="00000000" w:rsidDel="00000000" w:rsidP="00000000" w:rsidRDefault="00000000" w:rsidRPr="00000000" w14:paraId="00000033">
      <w:pPr>
        <w:spacing w:after="80" w:before="220" w:lineRule="auto"/>
        <w:rPr>
          <w:b w:val="1"/>
          <w:bCs w:val="1"/>
          <w:sz w:val="26"/>
          <w:szCs w:val="26"/>
        </w:rPr>
      </w:pPr>
      <w:r w:rsidDel="00000000" w:rsidR="00000000" w:rsidRPr="00000000">
        <w:rPr>
          <w:b w:val="1"/>
          <w:bCs w:val="1"/>
          <w:smallCaps w:val="1"/>
          <w:color w:val="1f3d2b"/>
          <w:sz w:val="26"/>
          <w:szCs w:val="26"/>
          <w:rtl w:val="0"/>
        </w:rPr>
        <w:t xml:space="preserve">Phase 3: Target calibration |  Week 6</w:t>
      </w:r>
      <w:r w:rsidDel="00000000" w:rsidR="00000000" w:rsidRPr="00000000">
        <w:rPr>
          <w:rtl w:val="0"/>
        </w:rPr>
      </w:r>
    </w:p>
    <w:p w:rsidR="00000000" w:rsidDel="00000000" w:rsidP="00000000" w:rsidRDefault="00000000" w:rsidRPr="00000000" w14:paraId="00000034">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Specify the prioritized metrics, aggregation methods, and the regional adaptation logic required to produce defensible global reporting on the Apprenticeship NSG.</w:t>
      </w:r>
      <w:r w:rsidDel="00000000" w:rsidR="00000000" w:rsidRPr="00000000">
        <w:rPr>
          <w:rtl w:val="0"/>
        </w:rPr>
      </w:r>
    </w:p>
    <w:p w:rsidR="00000000" w:rsidDel="00000000" w:rsidP="00000000" w:rsidRDefault="00000000" w:rsidRPr="00000000" w14:paraId="00000035">
      <w:pPr>
        <w:numPr>
          <w:ilvl w:val="0"/>
          <w:numId w:val="1"/>
        </w:numPr>
        <w:spacing w:after="100" w:before="0" w:line="336" w:lineRule="auto"/>
        <w:ind w:left="720" w:hanging="360"/>
        <w:rPr/>
      </w:pPr>
      <w:r w:rsidDel="00000000" w:rsidR="00000000" w:rsidRPr="00000000">
        <w:rPr>
          <w:b w:val="1"/>
          <w:bCs w:val="1"/>
          <w:color w:val="2c3040"/>
          <w:sz w:val="22"/>
          <w:szCs w:val="22"/>
          <w:rtl w:val="0"/>
        </w:rPr>
        <w:t xml:space="preserve">Design session 2</w:t>
      </w:r>
      <w:r w:rsidDel="00000000" w:rsidR="00000000" w:rsidRPr="00000000">
        <w:rPr>
          <w:rFonts w:ascii="Libre Franklin" w:cs="Libre Franklin" w:eastAsia="Libre Franklin" w:hAnsi="Libre Franklin"/>
          <w:color w:val="2c3040"/>
          <w:sz w:val="22"/>
          <w:szCs w:val="22"/>
          <w:rtl w:val="0"/>
        </w:rPr>
        <w:t xml:space="preserve"> with the Apprenticeships team and Research &amp; Evaluation, for review and validation of the metric set, attribution logic, target calibration, and operational plan.</w:t>
      </w:r>
      <w:r w:rsidDel="00000000" w:rsidR="00000000" w:rsidRPr="00000000">
        <w:rPr>
          <w:rtl w:val="0"/>
        </w:rPr>
      </w:r>
    </w:p>
    <w:p w:rsidR="00000000" w:rsidDel="00000000" w:rsidP="00000000" w:rsidRDefault="00000000" w:rsidRPr="00000000" w14:paraId="00000036">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Calibrate evidence-based 3-year targets (2026-2028) for the prioritized metrics, grounded in baseline data, comparable program benchmarks, and ecosystem context</w:t>
      </w:r>
      <w:r w:rsidDel="00000000" w:rsidR="00000000" w:rsidRPr="00000000">
        <w:rPr>
          <w:rtl w:val="0"/>
        </w:rPr>
        <w:t xml:space="preserve">.</w:t>
      </w:r>
    </w:p>
    <w:p w:rsidR="00000000" w:rsidDel="00000000" w:rsidP="00000000" w:rsidRDefault="00000000" w:rsidRPr="00000000" w14:paraId="00000037">
      <w:pPr>
        <w:spacing w:after="80" w:before="220" w:lineRule="auto"/>
        <w:rPr>
          <w:b w:val="1"/>
          <w:bCs w:val="1"/>
          <w:sz w:val="26"/>
          <w:szCs w:val="26"/>
        </w:rPr>
      </w:pPr>
      <w:r w:rsidDel="00000000" w:rsidR="00000000" w:rsidRPr="00000000">
        <w:rPr>
          <w:b w:val="1"/>
          <w:bCs w:val="1"/>
          <w:smallCaps w:val="1"/>
          <w:color w:val="1f3d2b"/>
          <w:sz w:val="26"/>
          <w:szCs w:val="26"/>
          <w:rtl w:val="0"/>
        </w:rPr>
        <w:t xml:space="preserve">Phase 4: Implementation roadmap  |  Weeks 7 - 8</w:t>
      </w:r>
      <w:r w:rsidDel="00000000" w:rsidR="00000000" w:rsidRPr="00000000">
        <w:rPr>
          <w:rtl w:val="0"/>
        </w:rPr>
      </w:r>
    </w:p>
    <w:p w:rsidR="00000000" w:rsidDel="00000000" w:rsidP="00000000" w:rsidRDefault="00000000" w:rsidRPr="00000000" w14:paraId="00000038">
      <w:pPr>
        <w:numPr>
          <w:ilvl w:val="0"/>
          <w:numId w:val="1"/>
        </w:numPr>
        <w:spacing w:after="100" w:line="336" w:lineRule="auto"/>
        <w:ind w:left="720" w:hanging="360"/>
        <w:rPr>
          <w:u w:val="none"/>
        </w:rPr>
      </w:pPr>
      <w:r w:rsidDel="00000000" w:rsidR="00000000" w:rsidRPr="00000000">
        <w:rPr>
          <w:rtl w:val="0"/>
        </w:rPr>
        <w:t xml:space="preserve">Specify the operational plan: data sources, collection frequency, aggregation methodology across regions and pillars, regional adaptation logic, and the cross-pillar rollup approach for KSL apprenticeship grants flowing into the GP NSG. Design data collection fields and reporting integration aligned to the Annual Cycle Reporting Form, identifying what can be pre-filled from external benchmarks, what requires grantee input, and what requires staff validation.</w:t>
      </w:r>
      <w:r w:rsidDel="00000000" w:rsidR="00000000" w:rsidRPr="00000000">
        <w:rPr>
          <w:rtl w:val="0"/>
        </w:rPr>
      </w:r>
    </w:p>
    <w:p w:rsidR="00000000" w:rsidDel="00000000" w:rsidP="00000000" w:rsidRDefault="00000000" w:rsidRPr="00000000" w14:paraId="00000039">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Stakeholder review with Research &amp; Evaluation, the Apprenticeships team, and Google.org leadership. Refine the framework based on consolidated feedback.</w:t>
      </w:r>
      <w:r w:rsidDel="00000000" w:rsidR="00000000" w:rsidRPr="00000000">
        <w:rPr>
          <w:rtl w:val="0"/>
        </w:rPr>
      </w:r>
    </w:p>
    <w:p w:rsidR="00000000" w:rsidDel="00000000" w:rsidP="00000000" w:rsidRDefault="00000000" w:rsidRPr="00000000" w14:paraId="0000003A">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Final delivery of all three deliverables by June 30, 2026, one day inside the July 1 reporting cycle deadline.</w:t>
      </w:r>
      <w:r w:rsidDel="00000000" w:rsidR="00000000" w:rsidRPr="00000000">
        <w:rPr>
          <w:rtl w:val="0"/>
        </w:rPr>
      </w:r>
    </w:p>
    <w:p w:rsidR="00000000" w:rsidDel="00000000" w:rsidP="00000000" w:rsidRDefault="00000000" w:rsidRPr="00000000" w14:paraId="0000003B">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Deliverables</w:t>
      </w:r>
      <w:r w:rsidDel="00000000" w:rsidR="00000000" w:rsidRPr="00000000">
        <w:rPr>
          <w:rtl w:val="0"/>
        </w:rPr>
      </w:r>
    </w:p>
    <w:p w:rsidR="00000000" w:rsidDel="00000000" w:rsidP="00000000" w:rsidRDefault="00000000" w:rsidRPr="00000000" w14:paraId="0000003C">
      <w:pPr>
        <w:spacing w:after="120" w:before="280" w:lineRule="auto"/>
        <w:rPr>
          <w:b w:val="1"/>
          <w:bCs w:val="1"/>
          <w:sz w:val="26"/>
          <w:szCs w:val="26"/>
        </w:rPr>
      </w:pPr>
      <w:r w:rsidDel="00000000" w:rsidR="00000000" w:rsidRPr="00000000">
        <w:rPr>
          <w:b w:val="1"/>
          <w:bCs w:val="1"/>
          <w:smallCaps w:val="1"/>
          <w:color w:val="1f3d2b"/>
          <w:sz w:val="26"/>
          <w:szCs w:val="26"/>
          <w:rtl w:val="0"/>
        </w:rPr>
        <w:t xml:space="preserve">1. Metric recommendations and attribution framework</w:t>
      </w:r>
      <w:r w:rsidDel="00000000" w:rsidR="00000000" w:rsidRPr="00000000">
        <w:rPr>
          <w:rtl w:val="0"/>
        </w:rPr>
      </w:r>
    </w:p>
    <w:p w:rsidR="00000000" w:rsidDel="00000000" w:rsidP="00000000" w:rsidRDefault="00000000" w:rsidRPr="00000000" w14:paraId="0000003D">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A technical document specifying a prioritized set of high-fidelity metrics for the Apprenticeship NSG, with explicit selection criteria (feasibility, accuracy, strategic alignment) and the underlying attribution logic. </w:t>
      </w:r>
      <w:r w:rsidDel="00000000" w:rsidR="00000000" w:rsidRPr="00000000">
        <w:rPr>
          <w:rtl w:val="0"/>
        </w:rPr>
        <w:t xml:space="preserve">The framework distinguishes direct contribution (Google-run program outcomes) from ecosystem influence across the six channels (incubating, grantmaking, thought leadership, convenings, research, content) and includes intermediary milestone metrics for ecosystem trust, credibility, and influence. The framework documents the three measurement populations (direct, grantee, ecosystem-influenced) and specifies the methodology applied to each.</w:t>
      </w:r>
    </w:p>
    <w:p w:rsidR="00000000" w:rsidDel="00000000" w:rsidP="00000000" w:rsidRDefault="00000000" w:rsidRPr="00000000" w14:paraId="0000003E">
      <w:pPr>
        <w:spacing w:after="120" w:before="280" w:lineRule="auto"/>
        <w:rPr>
          <w:b w:val="1"/>
          <w:bCs w:val="1"/>
          <w:sz w:val="26"/>
          <w:szCs w:val="26"/>
        </w:rPr>
      </w:pPr>
      <w:r w:rsidDel="00000000" w:rsidR="00000000" w:rsidRPr="00000000">
        <w:rPr>
          <w:b w:val="1"/>
          <w:bCs w:val="1"/>
          <w:smallCaps w:val="1"/>
          <w:color w:val="1f3d2b"/>
          <w:sz w:val="26"/>
          <w:szCs w:val="26"/>
          <w:rtl w:val="0"/>
        </w:rPr>
        <w:t xml:space="preserve">2. Target-setting report and measurement operational plan</w:t>
      </w:r>
      <w:r w:rsidDel="00000000" w:rsidR="00000000" w:rsidRPr="00000000">
        <w:rPr>
          <w:rtl w:val="0"/>
        </w:rPr>
      </w:r>
    </w:p>
    <w:p w:rsidR="00000000" w:rsidDel="00000000" w:rsidP="00000000" w:rsidRDefault="00000000" w:rsidRPr="00000000" w14:paraId="0000003F">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Evidence-based 3-year (2026-2028) targets for the top-prioritized metrics, paired with a detailed operational plan specifying data sources, collection frequency, aggregation methodology, regional adaptation logic, and the cross-pillar rollup approach for KSL apprenticeship grants flowing into the GP NSG. The plan integrates directly with the Annual Cycle Reporting Form, with proposed changes where needed.</w:t>
      </w:r>
      <w:r w:rsidDel="00000000" w:rsidR="00000000" w:rsidRPr="00000000">
        <w:rPr>
          <w:rtl w:val="0"/>
        </w:rPr>
      </w:r>
    </w:p>
    <w:p w:rsidR="00000000" w:rsidDel="00000000" w:rsidP="00000000" w:rsidRDefault="00000000" w:rsidRPr="00000000" w14:paraId="00000040">
      <w:pPr>
        <w:spacing w:after="120" w:before="280" w:lineRule="auto"/>
        <w:rPr>
          <w:b w:val="1"/>
          <w:bCs w:val="1"/>
          <w:sz w:val="26"/>
          <w:szCs w:val="26"/>
        </w:rPr>
      </w:pPr>
      <w:r w:rsidDel="00000000" w:rsidR="00000000" w:rsidRPr="00000000">
        <w:rPr>
          <w:b w:val="1"/>
          <w:bCs w:val="1"/>
          <w:smallCaps w:val="1"/>
          <w:color w:val="1f3d2b"/>
          <w:sz w:val="26"/>
          <w:szCs w:val="26"/>
          <w:rtl w:val="0"/>
        </w:rPr>
        <w:t xml:space="preserve">3. Executive summary and presentation</w:t>
      </w:r>
      <w:r w:rsidDel="00000000" w:rsidR="00000000" w:rsidRPr="00000000">
        <w:rPr>
          <w:rtl w:val="0"/>
        </w:rPr>
      </w:r>
    </w:p>
    <w:p w:rsidR="00000000" w:rsidDel="00000000" w:rsidP="00000000" w:rsidRDefault="00000000" w:rsidRPr="00000000" w14:paraId="00000041">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A shareable report and executive summary that defends the measurement approach to a broad internal audience, including Research &amp; Evaluation, the Apprenticeships team, pillar leadership, and Google.org leadership. The materials support communication with government and employer counterparts in the apprenticeship ecosystem and are designed to anchor the framework as the operating standard for the 2026-2028 NSG cycle.</w:t>
      </w:r>
      <w:r w:rsidDel="00000000" w:rsidR="00000000" w:rsidRPr="00000000">
        <w:rPr>
          <w:rtl w:val="0"/>
        </w:rPr>
      </w:r>
    </w:p>
    <w:p w:rsidR="00000000" w:rsidDel="00000000" w:rsidP="00000000" w:rsidRDefault="00000000" w:rsidRPr="00000000" w14:paraId="00000042">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Timeline risk and mitigation</w:t>
      </w:r>
      <w:r w:rsidDel="00000000" w:rsidR="00000000" w:rsidRPr="00000000">
        <w:rPr>
          <w:rtl w:val="0"/>
        </w:rPr>
      </w:r>
    </w:p>
    <w:p w:rsidR="00000000" w:rsidDel="00000000" w:rsidP="00000000" w:rsidRDefault="00000000" w:rsidRPr="00000000" w14:paraId="00000043">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The July 31 reporting cycle deadline is firm</w:t>
      </w:r>
      <w:r w:rsidDel="00000000" w:rsidR="00000000" w:rsidRPr="00000000">
        <w:rPr>
          <w:rtl w:val="0"/>
        </w:rPr>
        <w:t xml:space="preserve"> </w:t>
      </w:r>
      <w:r w:rsidDel="00000000" w:rsidR="00000000" w:rsidRPr="00000000">
        <w:rPr>
          <w:rFonts w:ascii="Libre Franklin" w:cs="Libre Franklin" w:eastAsia="Libre Franklin" w:hAnsi="Libre Franklin"/>
          <w:color w:val="2c3040"/>
          <w:sz w:val="22"/>
          <w:szCs w:val="22"/>
          <w:rtl w:val="0"/>
        </w:rPr>
        <w:t xml:space="preserve">and is the single largest project risk. Three design choices mitigate it.</w:t>
      </w:r>
      <w:r w:rsidDel="00000000" w:rsidR="00000000" w:rsidRPr="00000000">
        <w:rPr>
          <w:rtl w:val="0"/>
        </w:rPr>
      </w:r>
    </w:p>
    <w:p w:rsidR="00000000" w:rsidDel="00000000" w:rsidP="00000000" w:rsidRDefault="00000000" w:rsidRPr="00000000" w14:paraId="00000044">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Senior-led, no-handoff delivery. Spencer leads the work end-to-end, removing </w:t>
      </w:r>
      <w:r w:rsidDel="00000000" w:rsidR="00000000" w:rsidRPr="00000000">
        <w:rPr>
          <w:rtl w:val="0"/>
        </w:rPr>
        <w:t xml:space="preserve">any</w:t>
      </w:r>
      <w:r w:rsidDel="00000000" w:rsidR="00000000" w:rsidRPr="00000000">
        <w:rPr>
          <w:rFonts w:ascii="Libre Franklin" w:cs="Libre Franklin" w:eastAsia="Libre Franklin" w:hAnsi="Libre Franklin"/>
          <w:color w:val="2c3040"/>
          <w:sz w:val="22"/>
          <w:szCs w:val="22"/>
          <w:rtl w:val="0"/>
        </w:rPr>
        <w:t xml:space="preserve"> coordination overhead.</w:t>
      </w:r>
      <w:r w:rsidDel="00000000" w:rsidR="00000000" w:rsidRPr="00000000">
        <w:rPr>
          <w:rtl w:val="0"/>
        </w:rPr>
      </w:r>
    </w:p>
    <w:p w:rsidR="00000000" w:rsidDel="00000000" w:rsidP="00000000" w:rsidRDefault="00000000" w:rsidRPr="00000000" w14:paraId="00000045">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Existing context on Google.org and KSL. Prior engagements reduce Phase 1 ramp time meaningfully and provide a head start on the cross-pillar rollup logic, freeing time for the attribution methodology work in Phase 2, which is where the hardest judgments sit.</w:t>
      </w:r>
      <w:r w:rsidDel="00000000" w:rsidR="00000000" w:rsidRPr="00000000">
        <w:rPr>
          <w:rtl w:val="0"/>
        </w:rPr>
      </w:r>
    </w:p>
    <w:p w:rsidR="00000000" w:rsidDel="00000000" w:rsidP="00000000" w:rsidRDefault="00000000" w:rsidRPr="00000000" w14:paraId="00000046">
      <w:pPr>
        <w:numPr>
          <w:ilvl w:val="0"/>
          <w:numId w:val="1"/>
        </w:numPr>
        <w:spacing w:after="100" w:before="0" w:line="336" w:lineRule="auto"/>
        <w:ind w:left="720" w:hanging="360"/>
        <w:rPr/>
      </w:pPr>
      <w:r w:rsidDel="00000000" w:rsidR="00000000" w:rsidRPr="00000000">
        <w:rPr>
          <w:rFonts w:ascii="Libre Franklin" w:cs="Libre Franklin" w:eastAsia="Libre Franklin" w:hAnsi="Libre Franklin"/>
          <w:color w:val="2c3040"/>
          <w:sz w:val="22"/>
          <w:szCs w:val="22"/>
          <w:rtl w:val="0"/>
        </w:rPr>
        <w:t xml:space="preserve">Structured design cadence. Two scheduled design sessions with the Apprenticeships team and weekly Research &amp; Evaluation syncs, both calendared in advance, prevent the ‘final-week scramble’ pattern that usually causes measurement projects to slip.</w:t>
      </w:r>
      <w:r w:rsidDel="00000000" w:rsidR="00000000" w:rsidRPr="00000000">
        <w:rPr>
          <w:rtl w:val="0"/>
        </w:rPr>
      </w:r>
    </w:p>
    <w:p w:rsidR="00000000" w:rsidDel="00000000" w:rsidP="00000000" w:rsidRDefault="00000000" w:rsidRPr="00000000" w14:paraId="00000047">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If an Apprenticeships team lead becomes unavailable for a scheduled design session, non-lead staff may be included to keep the work moving. The framework will proceed on the best available information and flag specific elements for post-delivery refinement rather than holding up the critical-path deliverables.</w:t>
      </w:r>
      <w:r w:rsidDel="00000000" w:rsidR="00000000" w:rsidRPr="00000000">
        <w:rPr>
          <w:rtl w:val="0"/>
        </w:rPr>
      </w:r>
    </w:p>
    <w:p w:rsidR="00000000" w:rsidDel="00000000" w:rsidP="00000000" w:rsidRDefault="00000000" w:rsidRPr="00000000" w14:paraId="00000048">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Cost and commercial terms</w:t>
      </w:r>
      <w:r w:rsidDel="00000000" w:rsidR="00000000" w:rsidRPr="00000000">
        <w:rPr>
          <w:rtl w:val="0"/>
        </w:rPr>
      </w:r>
    </w:p>
    <w:p w:rsidR="00000000" w:rsidDel="00000000" w:rsidP="00000000" w:rsidRDefault="00000000" w:rsidRPr="00000000" w14:paraId="00000049">
      <w:pPr>
        <w:spacing w:after="160" w:before="0" w:line="336" w:lineRule="auto"/>
        <w:rPr/>
      </w:pPr>
      <w:r w:rsidDel="00000000" w:rsidR="00000000" w:rsidRPr="00000000">
        <w:rPr>
          <w:rFonts w:ascii="Libre Franklin" w:cs="Libre Franklin" w:eastAsia="Libre Franklin" w:hAnsi="Libre Franklin"/>
          <w:b w:val="1"/>
          <w:bCs w:val="1"/>
          <w:color w:val="2c3040"/>
          <w:sz w:val="22"/>
          <w:szCs w:val="22"/>
          <w:rtl w:val="0"/>
        </w:rPr>
        <w:t xml:space="preserve">Fixed project fee: </w:t>
      </w:r>
      <w:r w:rsidDel="00000000" w:rsidR="00000000" w:rsidRPr="00000000">
        <w:rPr>
          <w:rtl w:val="0"/>
        </w:rPr>
        <w:t xml:space="preserve">The total cost is </w:t>
      </w:r>
      <w:r w:rsidDel="00000000" w:rsidR="00000000" w:rsidRPr="00000000">
        <w:rPr>
          <w:rFonts w:ascii="Libre Franklin" w:cs="Libre Franklin" w:eastAsia="Libre Franklin" w:hAnsi="Libre Franklin"/>
          <w:color w:val="2c3040"/>
          <w:sz w:val="22"/>
          <w:szCs w:val="22"/>
          <w:rtl w:val="0"/>
        </w:rPr>
        <w:t xml:space="preserve">$</w:t>
      </w:r>
      <w:r w:rsidDel="00000000" w:rsidR="00000000" w:rsidRPr="00000000">
        <w:rPr>
          <w:rtl w:val="0"/>
        </w:rPr>
        <w:t xml:space="preserve">85</w:t>
      </w:r>
      <w:r w:rsidDel="00000000" w:rsidR="00000000" w:rsidRPr="00000000">
        <w:rPr>
          <w:rFonts w:ascii="Libre Franklin" w:cs="Libre Franklin" w:eastAsia="Libre Franklin" w:hAnsi="Libre Franklin"/>
          <w:color w:val="2c3040"/>
          <w:sz w:val="22"/>
          <w:szCs w:val="22"/>
          <w:rtl w:val="0"/>
        </w:rPr>
        <w:t xml:space="preserve">,000. The fee is inclusive of all research, stakeholder engagement, design sessions, drafting, iteration,</w:t>
      </w:r>
      <w:r w:rsidDel="00000000" w:rsidR="00000000" w:rsidRPr="00000000">
        <w:rPr>
          <w:rtl w:val="0"/>
        </w:rPr>
        <w:t xml:space="preserve">, </w:t>
      </w:r>
      <w:r w:rsidDel="00000000" w:rsidR="00000000" w:rsidRPr="00000000">
        <w:rPr>
          <w:rFonts w:ascii="Libre Franklin" w:cs="Libre Franklin" w:eastAsia="Libre Franklin" w:hAnsi="Libre Franklin"/>
          <w:color w:val="2c3040"/>
          <w:sz w:val="22"/>
          <w:szCs w:val="22"/>
          <w:rtl w:val="0"/>
        </w:rPr>
        <w:t xml:space="preserve">and final deliverables across the eight-week engagement. No additional charges apply for meeting time or revisions within scope. The engagement is remote-first. </w:t>
      </w:r>
      <w:r w:rsidDel="00000000" w:rsidR="00000000" w:rsidRPr="00000000">
        <w:rPr>
          <w:rtl w:val="0"/>
        </w:rPr>
        <w:t xml:space="preserve">If Google.org requests</w:t>
      </w:r>
      <w:r w:rsidDel="00000000" w:rsidR="00000000" w:rsidRPr="00000000">
        <w:rPr>
          <w:rFonts w:ascii="Libre Franklin" w:cs="Libre Franklin" w:eastAsia="Libre Franklin" w:hAnsi="Libre Franklin"/>
          <w:color w:val="2c3040"/>
          <w:sz w:val="22"/>
          <w:szCs w:val="22"/>
          <w:rtl w:val="0"/>
        </w:rPr>
        <w:t xml:space="preserve"> on-site meetings or workshops, reasonable travel expenses will be reimbursed at cost with prior approval.</w:t>
      </w:r>
      <w:r w:rsidDel="00000000" w:rsidR="00000000" w:rsidRPr="00000000">
        <w:rPr>
          <w:rtl w:val="0"/>
        </w:rPr>
      </w:r>
    </w:p>
    <w:p w:rsidR="00000000" w:rsidDel="00000000" w:rsidP="00000000" w:rsidRDefault="00000000" w:rsidRPr="00000000" w14:paraId="0000004A">
      <w:pPr>
        <w:spacing w:after="160" w:before="0" w:line="336" w:lineRule="auto"/>
        <w:rPr/>
      </w:pPr>
      <w:r w:rsidDel="00000000" w:rsidR="00000000" w:rsidRPr="00000000">
        <w:rPr>
          <w:rFonts w:ascii="Libre Franklin" w:cs="Libre Franklin" w:eastAsia="Libre Franklin" w:hAnsi="Libre Franklin"/>
          <w:b w:val="1"/>
          <w:bCs w:val="1"/>
          <w:color w:val="2c3040"/>
          <w:sz w:val="22"/>
          <w:szCs w:val="22"/>
          <w:rtl w:val="0"/>
        </w:rPr>
        <w:t xml:space="preserve">Payment schedule: </w:t>
      </w:r>
      <w:r w:rsidDel="00000000" w:rsidR="00000000" w:rsidRPr="00000000">
        <w:rPr>
          <w:rFonts w:ascii="Libre Franklin" w:cs="Libre Franklin" w:eastAsia="Libre Franklin" w:hAnsi="Libre Franklin"/>
          <w:color w:val="2c3040"/>
          <w:sz w:val="22"/>
          <w:szCs w:val="22"/>
          <w:rtl w:val="0"/>
        </w:rPr>
        <w:t xml:space="preserve">50% at kickoff ($</w:t>
      </w:r>
      <w:r w:rsidDel="00000000" w:rsidR="00000000" w:rsidRPr="00000000">
        <w:rPr>
          <w:rtl w:val="0"/>
        </w:rPr>
        <w:t xml:space="preserve">42,500)</w:t>
      </w:r>
      <w:r w:rsidDel="00000000" w:rsidR="00000000" w:rsidRPr="00000000">
        <w:rPr>
          <w:rFonts w:ascii="Libre Franklin" w:cs="Libre Franklin" w:eastAsia="Libre Franklin" w:hAnsi="Libre Franklin"/>
          <w:color w:val="2c3040"/>
          <w:sz w:val="22"/>
          <w:szCs w:val="22"/>
          <w:rtl w:val="0"/>
        </w:rPr>
        <w:t xml:space="preserve">, 50% on delivery of final materials ($</w:t>
      </w:r>
      <w:r w:rsidDel="00000000" w:rsidR="00000000" w:rsidRPr="00000000">
        <w:rPr>
          <w:rtl w:val="0"/>
        </w:rPr>
        <w:t xml:space="preserve">42,500</w:t>
      </w:r>
      <w:r w:rsidDel="00000000" w:rsidR="00000000" w:rsidRPr="00000000">
        <w:rPr>
          <w:rFonts w:ascii="Libre Franklin" w:cs="Libre Franklin" w:eastAsia="Libre Franklin" w:hAnsi="Libre Franklin"/>
          <w:color w:val="2c3040"/>
          <w:sz w:val="22"/>
          <w:szCs w:val="22"/>
          <w:rtl w:val="0"/>
        </w:rPr>
        <w:t xml:space="preserve">).</w:t>
      </w:r>
      <w:r w:rsidDel="00000000" w:rsidR="00000000" w:rsidRPr="00000000">
        <w:rPr>
          <w:rtl w:val="0"/>
        </w:rPr>
      </w:r>
    </w:p>
    <w:p w:rsidR="00000000" w:rsidDel="00000000" w:rsidP="00000000" w:rsidRDefault="00000000" w:rsidRPr="00000000" w14:paraId="0000004B">
      <w:pPr>
        <w:spacing w:after="160" w:before="0" w:line="336" w:lineRule="auto"/>
        <w:rPr/>
      </w:pPr>
      <w:r w:rsidDel="00000000" w:rsidR="00000000" w:rsidRPr="00000000">
        <w:rPr>
          <w:rFonts w:ascii="Libre Franklin" w:cs="Libre Franklin" w:eastAsia="Libre Franklin" w:hAnsi="Libre Franklin"/>
          <w:b w:val="1"/>
          <w:bCs w:val="1"/>
          <w:color w:val="2c3040"/>
          <w:sz w:val="22"/>
          <w:szCs w:val="22"/>
          <w:rtl w:val="0"/>
        </w:rPr>
        <w:t xml:space="preserve">Scope stability: </w:t>
      </w:r>
      <w:r w:rsidDel="00000000" w:rsidR="00000000" w:rsidRPr="00000000">
        <w:rPr>
          <w:rtl w:val="0"/>
        </w:rPr>
        <w:t xml:space="preserve">The fixed fee covers the scope described in this proposal. Material scope changes, for example adding a fourth pillar, or significantly expanding the number of stakeholder consultations, would be addressed by written addendum.</w:t>
      </w:r>
    </w:p>
    <w:p w:rsidR="00000000" w:rsidDel="00000000" w:rsidP="00000000" w:rsidRDefault="00000000" w:rsidRPr="00000000" w14:paraId="0000004C">
      <w:pPr>
        <w:spacing w:after="160" w:before="0" w:line="336" w:lineRule="auto"/>
        <w:rPr>
          <w:rFonts w:ascii="Libre Franklin" w:cs="Libre Franklin" w:eastAsia="Libre Franklin" w:hAnsi="Libre Franklin"/>
          <w:color w:val="2c3040"/>
          <w:sz w:val="22"/>
          <w:szCs w:val="22"/>
        </w:rPr>
      </w:pPr>
      <w:r w:rsidDel="00000000" w:rsidR="00000000" w:rsidRPr="00000000">
        <w:rPr>
          <w:rFonts w:ascii="Libre Franklin" w:cs="Libre Franklin" w:eastAsia="Libre Franklin" w:hAnsi="Libre Franklin"/>
          <w:b w:val="1"/>
          <w:bCs w:val="1"/>
          <w:color w:val="2c3040"/>
          <w:sz w:val="22"/>
          <w:szCs w:val="22"/>
          <w:rtl w:val="0"/>
        </w:rPr>
        <w:t xml:space="preserve">Confidentiality: </w:t>
      </w:r>
      <w:r w:rsidDel="00000000" w:rsidR="00000000" w:rsidRPr="00000000">
        <w:rPr>
          <w:rFonts w:ascii="Libre Franklin" w:cs="Libre Franklin" w:eastAsia="Libre Franklin" w:hAnsi="Libre Franklin"/>
          <w:color w:val="2c3040"/>
          <w:sz w:val="22"/>
          <w:szCs w:val="22"/>
          <w:rtl w:val="0"/>
        </w:rPr>
        <w:t xml:space="preserve">all work will be conducted under an NDA. All work product is Google.org’s property on delivery.</w:t>
      </w:r>
    </w:p>
    <w:p w:rsidR="00000000" w:rsidDel="00000000" w:rsidP="00000000" w:rsidRDefault="00000000" w:rsidRPr="00000000" w14:paraId="0000004D">
      <w:pPr>
        <w:spacing w:after="160" w:line="336" w:lineRule="auto"/>
        <w:rPr>
          <w:rFonts w:ascii="Calibri" w:cs="Calibri" w:eastAsia="Calibri" w:hAnsi="Calibri"/>
          <w:color w:val="000000"/>
        </w:rPr>
      </w:pPr>
      <w:r w:rsidDel="00000000" w:rsidR="00000000" w:rsidRPr="00000000">
        <w:rPr>
          <w:b w:val="1"/>
          <w:bCs w:val="1"/>
          <w:rtl w:val="0"/>
        </w:rPr>
        <w:t xml:space="preserve">Cost breakdown:</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30"/>
        <w:gridCol w:w="4725"/>
        <w:gridCol w:w="2025"/>
        <w:gridCol w:w="1380"/>
        <w:tblGridChange w:id="0">
          <w:tblGrid>
            <w:gridCol w:w="1230"/>
            <w:gridCol w:w="4725"/>
            <w:gridCol w:w="2025"/>
            <w:gridCol w:w="1380"/>
          </w:tblGrid>
        </w:tblGridChange>
      </w:tblGrid>
      <w:tr>
        <w:trPr>
          <w:cantSplit w:val="0"/>
          <w:tblHeader w:val="1"/>
        </w:trPr>
        <w:tc>
          <w:tcPr>
            <w:tcBorders>
              <w:top w:color="bfbfbf" w:space="0" w:sz="4" w:val="single"/>
              <w:left w:color="bfbfbf" w:space="0" w:sz="4" w:val="single"/>
              <w:bottom w:color="bfbfbf" w:space="0" w:sz="4" w:val="single"/>
              <w:right w:color="bfbfbf" w:space="0" w:sz="4" w:val="single"/>
            </w:tcBorders>
            <w:shd w:fill="1f3a2e" w:val="clear"/>
            <w:tcMar>
              <w:top w:w="120.0" w:type="dxa"/>
              <w:left w:w="140.0" w:type="dxa"/>
              <w:bottom w:w="120.0" w:type="dxa"/>
              <w:right w:w="140.0" w:type="dxa"/>
            </w:tcMar>
            <w:vAlign w:val="center"/>
          </w:tcPr>
          <w:p w:rsidR="00000000" w:rsidDel="00000000" w:rsidP="00000000" w:rsidRDefault="00000000" w:rsidRPr="00000000" w14:paraId="0000004E">
            <w:pPr>
              <w:rPr>
                <w:color w:val="000000"/>
              </w:rPr>
            </w:pPr>
            <w:r w:rsidDel="00000000" w:rsidR="00000000" w:rsidRPr="00000000">
              <w:rPr>
                <w:b w:val="1"/>
                <w:bCs w:val="1"/>
                <w:color w:val="ffffff"/>
                <w:rtl w:val="0"/>
              </w:rPr>
              <w:t xml:space="preserve">Phase</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2e" w:val="clear"/>
            <w:tcMar>
              <w:top w:w="120.0" w:type="dxa"/>
              <w:left w:w="140.0" w:type="dxa"/>
              <w:bottom w:w="120.0" w:type="dxa"/>
              <w:right w:w="140.0" w:type="dxa"/>
            </w:tcMar>
            <w:vAlign w:val="center"/>
          </w:tcPr>
          <w:p w:rsidR="00000000" w:rsidDel="00000000" w:rsidP="00000000" w:rsidRDefault="00000000" w:rsidRPr="00000000" w14:paraId="0000004F">
            <w:pPr>
              <w:rPr>
                <w:color w:val="000000"/>
              </w:rPr>
            </w:pPr>
            <w:r w:rsidDel="00000000" w:rsidR="00000000" w:rsidRPr="00000000">
              <w:rPr>
                <w:b w:val="1"/>
                <w:bCs w:val="1"/>
                <w:color w:val="ffffff"/>
                <w:rtl w:val="0"/>
              </w:rPr>
              <w:t xml:space="preserve">Activity</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2e" w:val="clear"/>
            <w:tcMar>
              <w:top w:w="120.0" w:type="dxa"/>
              <w:left w:w="140.0" w:type="dxa"/>
              <w:bottom w:w="120.0" w:type="dxa"/>
              <w:right w:w="140.0" w:type="dxa"/>
            </w:tcMar>
            <w:vAlign w:val="center"/>
          </w:tcPr>
          <w:p w:rsidR="00000000" w:rsidDel="00000000" w:rsidP="00000000" w:rsidRDefault="00000000" w:rsidRPr="00000000" w14:paraId="00000050">
            <w:pPr>
              <w:jc w:val="right"/>
              <w:rPr>
                <w:color w:val="000000"/>
              </w:rPr>
            </w:pPr>
            <w:r w:rsidDel="00000000" w:rsidR="00000000" w:rsidRPr="00000000">
              <w:rPr>
                <w:b w:val="1"/>
                <w:bCs w:val="1"/>
                <w:color w:val="ffffff"/>
                <w:rtl w:val="0"/>
              </w:rPr>
              <w:t xml:space="preserve">Estimated hours</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1f3a2e" w:val="clear"/>
            <w:tcMar>
              <w:top w:w="120.0" w:type="dxa"/>
              <w:left w:w="140.0" w:type="dxa"/>
              <w:bottom w:w="120.0" w:type="dxa"/>
              <w:right w:w="140.0" w:type="dxa"/>
            </w:tcMar>
            <w:vAlign w:val="center"/>
          </w:tcPr>
          <w:p w:rsidR="00000000" w:rsidDel="00000000" w:rsidP="00000000" w:rsidRDefault="00000000" w:rsidRPr="00000000" w14:paraId="00000051">
            <w:pPr>
              <w:jc w:val="right"/>
              <w:rPr>
                <w:color w:val="000000"/>
              </w:rPr>
            </w:pPr>
            <w:r w:rsidDel="00000000" w:rsidR="00000000" w:rsidRPr="00000000">
              <w:rPr>
                <w:b w:val="1"/>
                <w:bCs w:val="1"/>
                <w:color w:val="ffffff"/>
                <w:rtl w:val="0"/>
              </w:rPr>
              <w:t xml:space="preserve">Cost</w:t>
            </w: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2">
            <w:pPr>
              <w:rPr>
                <w:color w:val="000000"/>
              </w:rPr>
            </w:pPr>
            <w:r w:rsidDel="00000000" w:rsidR="00000000" w:rsidRPr="00000000">
              <w:rPr>
                <w:color w:val="000000"/>
                <w:rtl w:val="0"/>
              </w:rPr>
              <w:t xml:space="preserve">Phase 1</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3">
            <w:pPr>
              <w:rPr>
                <w:color w:val="000000"/>
              </w:rPr>
            </w:pPr>
            <w:r w:rsidDel="00000000" w:rsidR="00000000" w:rsidRPr="00000000">
              <w:rPr>
                <w:color w:val="000000"/>
                <w:rtl w:val="0"/>
              </w:rPr>
              <w:t xml:space="preserve">Discovery and metric design</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4">
            <w:pPr>
              <w:jc w:val="right"/>
              <w:rPr>
                <w:color w:val="000000"/>
              </w:rPr>
            </w:pPr>
            <w:r w:rsidDel="00000000" w:rsidR="00000000" w:rsidRPr="00000000">
              <w:rPr>
                <w:color w:val="000000"/>
                <w:rtl w:val="0"/>
              </w:rPr>
              <w:t xml:space="preserve">38</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5">
            <w:pPr>
              <w:jc w:val="right"/>
              <w:rPr>
                <w:color w:val="000000"/>
              </w:rPr>
            </w:pPr>
            <w:r w:rsidDel="00000000" w:rsidR="00000000" w:rsidRPr="00000000">
              <w:rPr>
                <w:color w:val="000000"/>
                <w:rtl w:val="0"/>
              </w:rPr>
              <w:t xml:space="preserve">$13,250</w:t>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6">
            <w:pPr>
              <w:rPr>
                <w:color w:val="000000"/>
              </w:rPr>
            </w:pPr>
            <w:r w:rsidDel="00000000" w:rsidR="00000000" w:rsidRPr="00000000">
              <w:rPr>
                <w:color w:val="000000"/>
                <w:rtl w:val="0"/>
              </w:rPr>
              <w:t xml:space="preserve">Phase 2</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7">
            <w:pPr>
              <w:rPr>
                <w:color w:val="000000"/>
              </w:rPr>
            </w:pPr>
            <w:r w:rsidDel="00000000" w:rsidR="00000000" w:rsidRPr="00000000">
              <w:rPr>
                <w:color w:val="000000"/>
                <w:rtl w:val="0"/>
              </w:rPr>
              <w:t xml:space="preserve">Attribution framework development</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8">
            <w:pPr>
              <w:jc w:val="right"/>
              <w:rPr>
                <w:color w:val="000000"/>
              </w:rPr>
            </w:pPr>
            <w:r w:rsidDel="00000000" w:rsidR="00000000" w:rsidRPr="00000000">
              <w:rPr>
                <w:color w:val="000000"/>
                <w:rtl w:val="0"/>
              </w:rPr>
              <w:t xml:space="preserve">95</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9">
            <w:pPr>
              <w:jc w:val="right"/>
              <w:rPr>
                <w:color w:val="000000"/>
              </w:rPr>
            </w:pPr>
            <w:r w:rsidDel="00000000" w:rsidR="00000000" w:rsidRPr="00000000">
              <w:rPr>
                <w:color w:val="000000"/>
                <w:rtl w:val="0"/>
              </w:rPr>
              <w:t xml:space="preserve">$33,250</w:t>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A">
            <w:pPr>
              <w:rPr>
                <w:color w:val="000000"/>
              </w:rPr>
            </w:pPr>
            <w:r w:rsidDel="00000000" w:rsidR="00000000" w:rsidRPr="00000000">
              <w:rPr>
                <w:color w:val="000000"/>
                <w:rtl w:val="0"/>
              </w:rPr>
              <w:t xml:space="preserve">Phase 3</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B">
            <w:pPr>
              <w:rPr>
                <w:color w:val="000000"/>
              </w:rPr>
            </w:pPr>
            <w:r w:rsidDel="00000000" w:rsidR="00000000" w:rsidRPr="00000000">
              <w:rPr>
                <w:color w:val="000000"/>
                <w:rtl w:val="0"/>
              </w:rPr>
              <w:t xml:space="preserve">Target calibration</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C">
            <w:pPr>
              <w:jc w:val="right"/>
              <w:rPr>
                <w:color w:val="000000"/>
              </w:rPr>
            </w:pPr>
            <w:r w:rsidDel="00000000" w:rsidR="00000000" w:rsidRPr="00000000">
              <w:rPr>
                <w:color w:val="000000"/>
                <w:rtl w:val="0"/>
              </w:rPr>
              <w:t xml:space="preserve">40</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D">
            <w:pPr>
              <w:jc w:val="right"/>
              <w:rPr>
                <w:color w:val="000000"/>
              </w:rPr>
            </w:pPr>
            <w:r w:rsidDel="00000000" w:rsidR="00000000" w:rsidRPr="00000000">
              <w:rPr>
                <w:color w:val="000000"/>
                <w:rtl w:val="0"/>
              </w:rPr>
              <w:t xml:space="preserve">$14,000</w:t>
            </w:r>
          </w:p>
        </w:tc>
      </w:tr>
      <w:tr>
        <w:trPr>
          <w:cantSplit w:val="0"/>
          <w:tblHeader w:val="0"/>
        </w:trPr>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E">
            <w:pPr>
              <w:rPr>
                <w:color w:val="000000"/>
              </w:rPr>
            </w:pPr>
            <w:r w:rsidDel="00000000" w:rsidR="00000000" w:rsidRPr="00000000">
              <w:rPr>
                <w:color w:val="000000"/>
                <w:rtl w:val="0"/>
              </w:rPr>
              <w:t xml:space="preserve">Phase 4</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5F">
            <w:pPr>
              <w:rPr>
                <w:color w:val="000000"/>
              </w:rPr>
            </w:pPr>
            <w:r w:rsidDel="00000000" w:rsidR="00000000" w:rsidRPr="00000000">
              <w:rPr>
                <w:color w:val="000000"/>
                <w:rtl w:val="0"/>
              </w:rPr>
              <w:t xml:space="preserve">Implementation roadmap</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60">
            <w:pPr>
              <w:jc w:val="right"/>
              <w:rPr>
                <w:color w:val="000000"/>
              </w:rPr>
            </w:pPr>
            <w:r w:rsidDel="00000000" w:rsidR="00000000" w:rsidRPr="00000000">
              <w:rPr>
                <w:color w:val="000000"/>
                <w:rtl w:val="0"/>
              </w:rPr>
              <w:t xml:space="preserve">70</w:t>
            </w:r>
          </w:p>
        </w:tc>
        <w:tc>
          <w:tcPr>
            <w:tcBorders>
              <w:top w:color="bfbfbf" w:space="0" w:sz="4" w:val="single"/>
              <w:left w:color="bfbfbf" w:space="0" w:sz="4" w:val="single"/>
              <w:bottom w:color="bfbfbf" w:space="0" w:sz="4" w:val="single"/>
              <w:right w:color="bfbfbf" w:space="0" w:sz="4" w:val="single"/>
            </w:tcBorders>
            <w:tcMar>
              <w:top w:w="120.0" w:type="dxa"/>
              <w:left w:w="140.0" w:type="dxa"/>
              <w:bottom w:w="120.0" w:type="dxa"/>
              <w:right w:w="140.0" w:type="dxa"/>
            </w:tcMar>
            <w:vAlign w:val="center"/>
          </w:tcPr>
          <w:p w:rsidR="00000000" w:rsidDel="00000000" w:rsidP="00000000" w:rsidRDefault="00000000" w:rsidRPr="00000000" w14:paraId="00000061">
            <w:pPr>
              <w:jc w:val="right"/>
              <w:rPr>
                <w:color w:val="000000"/>
              </w:rPr>
            </w:pPr>
            <w:r w:rsidDel="00000000" w:rsidR="00000000" w:rsidRPr="00000000">
              <w:rPr>
                <w:color w:val="000000"/>
                <w:rtl w:val="0"/>
              </w:rPr>
              <w:t xml:space="preserve">$24,500</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5efe0" w:val="clear"/>
            <w:tcMar>
              <w:top w:w="120.0" w:type="dxa"/>
              <w:left w:w="140.0" w:type="dxa"/>
              <w:bottom w:w="120.0" w:type="dxa"/>
              <w:right w:w="140.0" w:type="dxa"/>
            </w:tcMar>
            <w:vAlign w:val="center"/>
          </w:tcPr>
          <w:p w:rsidR="00000000" w:rsidDel="00000000" w:rsidP="00000000" w:rsidRDefault="00000000" w:rsidRPr="00000000" w14:paraId="00000062">
            <w:pPr>
              <w:rPr>
                <w:color w:val="000000"/>
              </w:rPr>
            </w:pPr>
            <w:r w:rsidDel="00000000" w:rsidR="00000000" w:rsidRPr="00000000">
              <w:rPr>
                <w:b w:val="1"/>
                <w:bCs w:val="1"/>
                <w:color w:val="000000"/>
                <w:rtl w:val="0"/>
              </w:rPr>
              <w:t xml:space="preserve">Total</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efe0" w:val="clear"/>
            <w:tcMar>
              <w:top w:w="120.0" w:type="dxa"/>
              <w:left w:w="140.0" w:type="dxa"/>
              <w:bottom w:w="120.0" w:type="dxa"/>
              <w:right w:w="140.0" w:type="dxa"/>
            </w:tcMar>
            <w:vAlign w:val="center"/>
          </w:tcPr>
          <w:p w:rsidR="00000000" w:rsidDel="00000000" w:rsidP="00000000" w:rsidRDefault="00000000" w:rsidRPr="00000000" w14:paraId="00000063">
            <w:pPr>
              <w:rPr>
                <w:color w:val="000000"/>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efe0" w:val="clear"/>
            <w:tcMar>
              <w:top w:w="120.0" w:type="dxa"/>
              <w:left w:w="140.0" w:type="dxa"/>
              <w:bottom w:w="120.0" w:type="dxa"/>
              <w:right w:w="140.0" w:type="dxa"/>
            </w:tcMar>
            <w:vAlign w:val="center"/>
          </w:tcPr>
          <w:p w:rsidR="00000000" w:rsidDel="00000000" w:rsidP="00000000" w:rsidRDefault="00000000" w:rsidRPr="00000000" w14:paraId="00000064">
            <w:pPr>
              <w:jc w:val="right"/>
              <w:rPr>
                <w:color w:val="000000"/>
              </w:rPr>
            </w:pPr>
            <w:r w:rsidDel="00000000" w:rsidR="00000000" w:rsidRPr="00000000">
              <w:rPr>
                <w:b w:val="1"/>
                <w:bCs w:val="1"/>
                <w:color w:val="000000"/>
                <w:rtl w:val="0"/>
              </w:rPr>
              <w:t xml:space="preserve">243</w:t>
            </w: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f5efe0" w:val="clear"/>
            <w:tcMar>
              <w:top w:w="120.0" w:type="dxa"/>
              <w:left w:w="140.0" w:type="dxa"/>
              <w:bottom w:w="120.0" w:type="dxa"/>
              <w:right w:w="140.0" w:type="dxa"/>
            </w:tcMar>
            <w:vAlign w:val="center"/>
          </w:tcPr>
          <w:p w:rsidR="00000000" w:rsidDel="00000000" w:rsidP="00000000" w:rsidRDefault="00000000" w:rsidRPr="00000000" w14:paraId="00000065">
            <w:pPr>
              <w:jc w:val="right"/>
              <w:rPr>
                <w:color w:val="000000"/>
              </w:rPr>
            </w:pPr>
            <w:r w:rsidDel="00000000" w:rsidR="00000000" w:rsidRPr="00000000">
              <w:rPr>
                <w:b w:val="1"/>
                <w:bCs w:val="1"/>
                <w:color w:val="000000"/>
                <w:rtl w:val="0"/>
              </w:rPr>
              <w:t xml:space="preserve">$85,000</w:t>
            </w:r>
            <w:r w:rsidDel="00000000" w:rsidR="00000000" w:rsidRPr="00000000">
              <w:rPr>
                <w:rtl w:val="0"/>
              </w:rPr>
            </w:r>
          </w:p>
        </w:tc>
      </w:tr>
    </w:tbl>
    <w:p w:rsidR="00000000" w:rsidDel="00000000" w:rsidP="00000000" w:rsidRDefault="00000000" w:rsidRPr="00000000" w14:paraId="00000066">
      <w:pPr>
        <w:spacing w:after="160" w:line="335.99999999999994" w:lineRule="auto"/>
        <w:rPr/>
      </w:pPr>
      <w:r w:rsidDel="00000000" w:rsidR="00000000" w:rsidRPr="00000000">
        <w:rPr>
          <w:rtl w:val="0"/>
        </w:rPr>
        <w:br w:type="textWrapping"/>
      </w:r>
      <w:r w:rsidDel="00000000" w:rsidR="00000000" w:rsidRPr="00000000">
        <w:rPr>
          <w:b w:val="1"/>
          <w:bCs w:val="1"/>
          <w:rtl w:val="0"/>
        </w:rPr>
        <w:t xml:space="preserve">Rate</w:t>
      </w:r>
      <w:r w:rsidDel="00000000" w:rsidR="00000000" w:rsidRPr="00000000">
        <w:rPr>
          <w:rtl w:val="0"/>
        </w:rPr>
        <w:t xml:space="preserve">: $350 per hour, senior-led delivery throughout. Inclusive of all research, stakeholder engagement, design sessions, drafting, iteration, and final deliverables. No additional charges for meeting time or in-scope revisions.</w:t>
      </w:r>
    </w:p>
    <w:p w:rsidR="00000000" w:rsidDel="00000000" w:rsidP="00000000" w:rsidRDefault="00000000" w:rsidRPr="00000000" w14:paraId="00000067">
      <w:pPr>
        <w:pStyle w:val="Heading1"/>
        <w:pBdr>
          <w:bottom w:color="d4c9b4" w:space="4" w:sz="6" w:val="single"/>
        </w:pBdr>
        <w:spacing w:after="160" w:before="360" w:lineRule="auto"/>
        <w:rPr>
          <w:rFonts w:ascii="Libre Franklin" w:cs="Libre Franklin" w:eastAsia="Libre Franklin" w:hAnsi="Libre Franklin"/>
          <w:sz w:val="30"/>
          <w:szCs w:val="30"/>
        </w:rPr>
      </w:pPr>
      <w:r w:rsidDel="00000000" w:rsidR="00000000" w:rsidRPr="00000000">
        <w:rPr>
          <w:rFonts w:ascii="Libre Franklin" w:cs="Libre Franklin" w:eastAsia="Libre Franklin" w:hAnsi="Libre Franklin"/>
          <w:smallCaps w:val="1"/>
          <w:color w:val="1f3d2b"/>
          <w:sz w:val="30"/>
          <w:szCs w:val="30"/>
          <w:rtl w:val="0"/>
        </w:rPr>
        <w:t xml:space="preserve">About Spencer MacColl</w:t>
      </w:r>
      <w:r w:rsidDel="00000000" w:rsidR="00000000" w:rsidRPr="00000000">
        <w:rPr>
          <w:rtl w:val="0"/>
        </w:rPr>
      </w:r>
    </w:p>
    <w:p w:rsidR="00000000" w:rsidDel="00000000" w:rsidP="00000000" w:rsidRDefault="00000000" w:rsidRPr="00000000" w14:paraId="00000068">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Spencer is the founder of Social Return Advisory, a specialist practice that helps funders make better investment decisions under uncertainty. He was most recently Chief Impact Officer at GitLab Foundation, where he built the foundation’s impact measurement and learning function from the ground up and launched an impact advisory arm that worked with several of the largest U.S. foundations on cost-effectiveness and investment decision-making.</w:t>
      </w:r>
      <w:r w:rsidDel="00000000" w:rsidR="00000000" w:rsidRPr="00000000">
        <w:rPr>
          <w:rtl w:val="0"/>
        </w:rPr>
      </w:r>
    </w:p>
    <w:p w:rsidR="00000000" w:rsidDel="00000000" w:rsidP="00000000" w:rsidRDefault="00000000" w:rsidRPr="00000000" w14:paraId="00000069">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Earlier roles include leading impact at Kiva.org, implementing randomized controlled trials with the World Bank in Tanzania, and working with community-led nonprofits in Uganda. Across his career, Spencer has developed and applied more than 300 pre-investment social ROI and cost-effectiveness models, informed over $55M in funding decisions across 200+ grants, and worked with funders influencing over $1B in annual funding.</w:t>
      </w:r>
      <w:r w:rsidDel="00000000" w:rsidR="00000000" w:rsidRPr="00000000">
        <w:rPr>
          <w:rtl w:val="0"/>
        </w:rPr>
      </w:r>
    </w:p>
    <w:p w:rsidR="00000000" w:rsidDel="00000000" w:rsidP="00000000" w:rsidRDefault="00000000" w:rsidRPr="00000000" w14:paraId="0000006A">
      <w:pPr>
        <w:spacing w:after="160" w:before="0" w:line="336" w:lineRule="auto"/>
        <w:rPr/>
      </w:pPr>
      <w:r w:rsidDel="00000000" w:rsidR="00000000" w:rsidRPr="00000000">
        <w:rPr>
          <w:rFonts w:ascii="Libre Franklin" w:cs="Libre Franklin" w:eastAsia="Libre Franklin" w:hAnsi="Libre Franklin"/>
          <w:color w:val="2c3040"/>
          <w:sz w:val="22"/>
          <w:szCs w:val="22"/>
          <w:rtl w:val="0"/>
        </w:rPr>
        <w:t xml:space="preserve">Spencer maintains an active network of collaborators that includes professors, industry experts, and peer consulting firms, along with program directors and instructors at the University of San Francisco’s economics program and Columbia University’s School of International and Public Affairs. Where a project calls for focused, time-bound support, whether senior subject-matter input or graduate-level research assistance, he draws on this network to bring in the right expertis</w:t>
      </w:r>
      <w:r w:rsidDel="00000000" w:rsidR="00000000" w:rsidRPr="00000000">
        <w:rPr>
          <w:rtl w:val="0"/>
        </w:rPr>
        <w:t xml:space="preserve">e</w:t>
      </w:r>
      <w:r w:rsidDel="00000000" w:rsidR="00000000" w:rsidRPr="00000000">
        <w:rPr>
          <w:rFonts w:ascii="Libre Franklin" w:cs="Libre Franklin" w:eastAsia="Libre Franklin" w:hAnsi="Libre Franklin"/>
          <w:color w:val="2c3040"/>
          <w:sz w:val="22"/>
          <w:szCs w:val="22"/>
          <w:rtl w:val="0"/>
        </w:rPr>
        <w:t xml:space="preserve">.</w:t>
      </w:r>
      <w:r w:rsidDel="00000000" w:rsidR="00000000" w:rsidRPr="00000000">
        <w:rPr>
          <w:rtl w:val="0"/>
        </w:rPr>
        <w:br w:type="textWrapping"/>
        <w:br w:type="textWrapping"/>
      </w:r>
      <w:r w:rsidDel="00000000" w:rsidR="00000000" w:rsidRPr="00000000">
        <w:rPr>
          <w:rFonts w:ascii="DM Mono" w:cs="DM Mono" w:eastAsia="DM Mono" w:hAnsi="DM Mono"/>
          <w:color w:val="a7b5a2"/>
          <w:sz w:val="20"/>
          <w:szCs w:val="20"/>
          <w:rtl w:val="0"/>
        </w:rPr>
        <w:t xml:space="preserve">Spencer MacColl •</w:t>
      </w:r>
      <w:r w:rsidDel="00000000" w:rsidR="00000000" w:rsidRPr="00000000">
        <w:rPr>
          <w:rtl w:val="0"/>
        </w:rPr>
        <w:t xml:space="preserve"> </w:t>
      </w:r>
      <w:r w:rsidDel="00000000" w:rsidR="00000000" w:rsidRPr="00000000">
        <w:rPr>
          <w:rFonts w:ascii="DM Mono" w:cs="DM Mono" w:eastAsia="DM Mono" w:hAnsi="DM Mono"/>
          <w:color w:val="a7b5a2"/>
          <w:sz w:val="20"/>
          <w:szCs w:val="20"/>
          <w:rtl w:val="0"/>
        </w:rPr>
        <w:t xml:space="preserve">socialreturnadvisory.com • spencer@socialreturnadvisory.com</w:t>
      </w:r>
      <w:r w:rsidDel="00000000" w:rsidR="00000000" w:rsidRPr="00000000">
        <w:rPr>
          <w:rtl w:val="0"/>
        </w:rPr>
      </w:r>
    </w:p>
    <w:sectPr>
      <w:headerReference r:id="rId15" w:type="default"/>
      <w:footerReference r:id="rId16" w:type="default"/>
      <w:pgSz w:h="15840" w:w="12240" w:orient="portrait"/>
      <w:pgMar w:bottom="1200" w:top="120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re Franklin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rmorant 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Libre Franklin">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DM Mono">
    <w:embedRegular w:fontKey="{00000000-0000-0000-0000-000000000000}" r:id="rId13" w:subsetted="0"/>
    <w:embe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Bdr>
        <w:top w:space="0" w:sz="0" w:val="nil"/>
      </w:pBdr>
      <w:shd w:fill="auto" w:val="clear"/>
      <w:tabs>
        <w:tab w:val="center" w:leader="none" w:pos="4680"/>
        <w:tab w:val="right" w:leader="none" w:pos="9026"/>
      </w:tabs>
      <w:spacing w:after="0" w:before="0" w:lineRule="auto"/>
      <w:rPr/>
    </w:pPr>
    <w:r w:rsidDel="00000000" w:rsidR="00000000" w:rsidRPr="00000000">
      <w:rPr>
        <w:rtl w:val="0"/>
      </w:rPr>
      <w:tab/>
      <w:tab/>
    </w:r>
    <w:r w:rsidDel="00000000" w:rsidR="00000000" w:rsidRPr="00000000">
      <w:rPr>
        <w:rFonts w:ascii="DM Mono" w:cs="DM Mono" w:eastAsia="DM Mono" w:hAnsi="DM Mono"/>
        <w:color w:val="a7b5a2"/>
        <w:sz w:val="16"/>
        <w:szCs w:val="16"/>
        <w:rtl w:val="0"/>
      </w:rPr>
      <w:t xml:space="preserve">Page </w:t>
    </w:r>
    <w:r w:rsidDel="00000000" w:rsidR="00000000" w:rsidRPr="00000000">
      <w:rPr>
        <w:rFonts w:ascii="DM Mono" w:cs="DM Mono" w:eastAsia="DM Mono" w:hAnsi="DM Mono"/>
        <w:color w:val="a7b5a2"/>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pBdr>
        <w:bottom w:space="0" w:sz="0" w:val="nil"/>
      </w:pBdr>
      <w:shd w:fill="auto" w:val="clear"/>
      <w:spacing w:after="0" w:before="0" w:lineRule="auto"/>
      <w:jc w:val="right"/>
      <w:rPr/>
    </w:pPr>
    <w:r w:rsidDel="00000000" w:rsidR="00000000" w:rsidRPr="00000000">
      <w:rPr/>
      <w:drawing>
        <wp:inline distB="0" distT="0" distL="0" distR="0">
          <wp:extent cx="919163" cy="258514"/>
          <wp:effectExtent b="0" l="0" r="0" t="0"/>
          <wp:docPr descr="SRA Wordmark" id="1" name="image1.jpg"/>
          <a:graphic>
            <a:graphicData uri="http://schemas.openxmlformats.org/drawingml/2006/picture">
              <pic:pic>
                <pic:nvPicPr>
                  <pic:cNvPr descr="SRA Wordmark" id="0" name="image1.jpg"/>
                  <pic:cNvPicPr preferRelativeResize="0"/>
                </pic:nvPicPr>
                <pic:blipFill>
                  <a:blip r:embed="rId1"/>
                  <a:srcRect b="0" l="0" r="0" t="0"/>
                  <a:stretch>
                    <a:fillRect/>
                  </a:stretch>
                </pic:blipFill>
                <pic:spPr>
                  <a:xfrm>
                    <a:off x="0" y="0"/>
                    <a:ext cx="919163" cy="2585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Libre Franklin" w:cs="Libre Franklin" w:eastAsia="Libre Franklin" w:hAnsi="Libre Franklin"/>
        <w:color w:val="2c3040"/>
        <w:sz w:val="22"/>
        <w:szCs w:val="22"/>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color w:val="2c3040"/>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d4c9b4" w:space="4" w:sz="6" w:val="single"/>
        <w:right w:space="0" w:sz="0" w:val="nil"/>
        <w:between w:space="0" w:sz="0" w:val="nil"/>
      </w:pBdr>
      <w:shd w:fill="auto" w:val="clear"/>
      <w:spacing w:after="120" w:before="360" w:line="240" w:lineRule="auto"/>
      <w:ind w:left="0" w:right="0" w:firstLine="0"/>
      <w:jc w:val="left"/>
    </w:pPr>
    <w:rPr>
      <w:rFonts w:ascii="Cormorant Garamond" w:cs="Cormorant Garamond" w:eastAsia="Cormorant Garamond" w:hAnsi="Cormorant Garamond"/>
      <w:b w:val="1"/>
      <w:bCs w:val="1"/>
      <w:i w:val="0"/>
      <w:iCs w:val="0"/>
      <w:smallCaps w:val="1"/>
      <w:strike w:val="0"/>
      <w:color w:val="1f3d2b"/>
      <w:sz w:val="22"/>
      <w:szCs w:val="2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Cormorant Garamond" w:cs="Cormorant Garamond" w:eastAsia="Cormorant Garamond" w:hAnsi="Cormorant Garamond"/>
      <w:b w:val="1"/>
      <w:bCs w:val="1"/>
      <w:i w:val="0"/>
      <w:iCs w:val="0"/>
      <w:smallCaps w:val="1"/>
      <w:strike w:val="0"/>
      <w:color w:val="1f3d2b"/>
      <w:sz w:val="20"/>
      <w:szCs w:val="2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re Franklin" w:cs="Libre Franklin" w:eastAsia="Libre Franklin" w:hAnsi="Libre Franklin"/>
      <w:b w:val="0"/>
      <w:bCs w:val="0"/>
      <w:i w:val="0"/>
      <w:iCs w:val="0"/>
      <w:smallCaps w:val="0"/>
      <w:strike w:val="0"/>
      <w:color w:val="2c304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sir.org/articles/entry/collective_impact" TargetMode="External"/><Relationship Id="rId10" Type="http://schemas.openxmlformats.org/officeDocument/2006/relationships/hyperlink" Target="https://www.fsg.org/resource/water_of_systems_change/" TargetMode="External"/><Relationship Id="rId13" Type="http://schemas.openxmlformats.org/officeDocument/2006/relationships/hyperlink" Target="https://www.cedefop.europa.eu/en/tools/apprenticeship-schemes" TargetMode="External"/><Relationship Id="rId12" Type="http://schemas.openxmlformats.org/officeDocument/2006/relationships/hyperlink" Target="https://researchrepository.ilo.org/esploro/outputs/encyclopediaEntry/ILO-toolkit-for-quality-apprenticeships-Vol/995219098902676#file-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etterevaluation.org/sites/default/files/2024-05/Contribution%20analysis%20and%20estimating%20the%20size%20of%20effects%20Can%20we%20reconcile%20the%20possible%20with%20the%20impossible.pdf" TargetMode="External"/><Relationship Id="rId15" Type="http://schemas.openxmlformats.org/officeDocument/2006/relationships/header" Target="header1.xml"/><Relationship Id="rId14" Type="http://schemas.openxmlformats.org/officeDocument/2006/relationships/hyperlink" Target="https://www.cedefop.europa.eu/en/tools/apprenticeship-scheme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pprenticeship.gov/data-and-statistics" TargetMode="External"/><Relationship Id="rId8" Type="http://schemas.openxmlformats.org/officeDocument/2006/relationships/hyperlink" Target="https://www.researchgate.net/publication/46472564_Contribution_analysis_An_approach_to_exploring_cause_and_effect"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LibreFranklin-italic.ttf"/><Relationship Id="rId10" Type="http://schemas.openxmlformats.org/officeDocument/2006/relationships/font" Target="fonts/LibreFranklin-bold.ttf"/><Relationship Id="rId13" Type="http://schemas.openxmlformats.org/officeDocument/2006/relationships/font" Target="fonts/DMMono-regular.ttf"/><Relationship Id="rId12" Type="http://schemas.openxmlformats.org/officeDocument/2006/relationships/font" Target="fonts/LibreFranklin-boldItalic.ttf"/><Relationship Id="rId1" Type="http://schemas.openxmlformats.org/officeDocument/2006/relationships/font" Target="fonts/LibreFranklinSemiBold-regular.ttf"/><Relationship Id="rId2" Type="http://schemas.openxmlformats.org/officeDocument/2006/relationships/font" Target="fonts/LibreFranklinSemiBold-bold.ttf"/><Relationship Id="rId3" Type="http://schemas.openxmlformats.org/officeDocument/2006/relationships/font" Target="fonts/LibreFranklinSemiBold-italic.ttf"/><Relationship Id="rId4" Type="http://schemas.openxmlformats.org/officeDocument/2006/relationships/font" Target="fonts/LibreFranklinSemiBold-boldItalic.ttf"/><Relationship Id="rId9" Type="http://schemas.openxmlformats.org/officeDocument/2006/relationships/font" Target="fonts/LibreFranklin-regular.ttf"/><Relationship Id="rId14" Type="http://schemas.openxmlformats.org/officeDocument/2006/relationships/font" Target="fonts/DMMono-italic.ttf"/><Relationship Id="rId5" Type="http://schemas.openxmlformats.org/officeDocument/2006/relationships/font" Target="fonts/CormorantGaramond-regular.ttf"/><Relationship Id="rId6" Type="http://schemas.openxmlformats.org/officeDocument/2006/relationships/font" Target="fonts/CormorantGaramond-bold.ttf"/><Relationship Id="rId7" Type="http://schemas.openxmlformats.org/officeDocument/2006/relationships/font" Target="fonts/CormorantGaramond-italic.ttf"/><Relationship Id="rId8" Type="http://schemas.openxmlformats.org/officeDocument/2006/relationships/font" Target="fonts/Cormorant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NTKkJJum+OhH7PtXT9H3QlOKA==">CgMxLjA4AHIhMVcyZ19wY0l0WWVURWl3c1VzeVNkaGE5eXROejJ0Sl9K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